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oter10.xml" ContentType="application/vnd.openxmlformats-officedocument.wordprocessingml.footer+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87" w:rsidRDefault="00AF6D87" w:rsidP="00B95FD3">
      <w:pPr>
        <w:rPr>
          <w:color w:val="000000" w:themeColor="text1"/>
        </w:rPr>
      </w:pPr>
    </w:p>
    <w:p w:rsidR="00934167" w:rsidRPr="00563479" w:rsidRDefault="00934167" w:rsidP="00B95FD3">
      <w:pPr>
        <w:rPr>
          <w:color w:val="000000" w:themeColor="text1"/>
        </w:rPr>
      </w:pPr>
    </w:p>
    <w:p w:rsidR="00AF6D87" w:rsidRPr="00563479" w:rsidRDefault="00AF6D87" w:rsidP="00AF6D87">
      <w:pPr>
        <w:jc w:val="center"/>
        <w:rPr>
          <w:color w:val="000000" w:themeColor="text1"/>
        </w:rPr>
      </w:pPr>
    </w:p>
    <w:p w:rsidR="00BE17AA" w:rsidRPr="00563479" w:rsidRDefault="00BE17AA" w:rsidP="00AF6D87">
      <w:pPr>
        <w:spacing w:line="360" w:lineRule="auto"/>
        <w:jc w:val="center"/>
        <w:rPr>
          <w:rFonts w:ascii="Arial" w:eastAsia="黑体" w:hAnsi="Arial"/>
          <w:color w:val="000000" w:themeColor="text1"/>
          <w:sz w:val="44"/>
          <w:szCs w:val="24"/>
        </w:rPr>
      </w:pPr>
    </w:p>
    <w:p w:rsidR="009A6BB9" w:rsidRPr="00E43FAD" w:rsidRDefault="00AF6D87" w:rsidP="009A6BB9">
      <w:pPr>
        <w:spacing w:line="360" w:lineRule="auto"/>
        <w:jc w:val="center"/>
        <w:rPr>
          <w:rFonts w:asciiTheme="majorEastAsia" w:eastAsiaTheme="majorEastAsia" w:hAnsiTheme="majorEastAsia"/>
          <w:b/>
          <w:color w:val="000000" w:themeColor="text1"/>
          <w:sz w:val="36"/>
          <w:szCs w:val="44"/>
        </w:rPr>
      </w:pPr>
      <w:r w:rsidRPr="00E43FAD">
        <w:rPr>
          <w:rFonts w:asciiTheme="majorEastAsia" w:eastAsiaTheme="majorEastAsia" w:hAnsiTheme="majorEastAsia"/>
          <w:b/>
          <w:color w:val="000000" w:themeColor="text1"/>
          <w:sz w:val="36"/>
          <w:szCs w:val="44"/>
        </w:rPr>
        <w:t>201</w:t>
      </w:r>
      <w:r w:rsidR="00185E38" w:rsidRPr="00E43FAD">
        <w:rPr>
          <w:rFonts w:asciiTheme="majorEastAsia" w:eastAsiaTheme="majorEastAsia" w:hAnsiTheme="majorEastAsia"/>
          <w:b/>
          <w:color w:val="000000" w:themeColor="text1"/>
          <w:sz w:val="36"/>
          <w:szCs w:val="44"/>
        </w:rPr>
        <w:t>6</w:t>
      </w:r>
      <w:r w:rsidR="00EE51E8" w:rsidRPr="00E43FAD">
        <w:rPr>
          <w:rFonts w:asciiTheme="majorEastAsia" w:eastAsiaTheme="majorEastAsia" w:hAnsiTheme="majorEastAsia" w:hint="eastAsia"/>
          <w:b/>
          <w:color w:val="000000" w:themeColor="text1"/>
          <w:sz w:val="36"/>
          <w:szCs w:val="44"/>
        </w:rPr>
        <w:t>年</w:t>
      </w:r>
      <w:r w:rsidRPr="00E43FAD">
        <w:rPr>
          <w:rFonts w:asciiTheme="majorEastAsia" w:eastAsiaTheme="majorEastAsia" w:hAnsiTheme="majorEastAsia" w:hint="eastAsia"/>
          <w:b/>
          <w:color w:val="000000" w:themeColor="text1"/>
          <w:sz w:val="36"/>
          <w:szCs w:val="44"/>
        </w:rPr>
        <w:t>上海市国家机关办公建筑和</w:t>
      </w:r>
      <w:r w:rsidR="00F02E85" w:rsidRPr="00E43FAD">
        <w:rPr>
          <w:rFonts w:asciiTheme="majorEastAsia" w:eastAsiaTheme="majorEastAsia" w:hAnsiTheme="majorEastAsia" w:hint="eastAsia"/>
          <w:b/>
          <w:color w:val="000000" w:themeColor="text1"/>
          <w:sz w:val="36"/>
          <w:szCs w:val="44"/>
        </w:rPr>
        <w:t>大型公共建筑</w:t>
      </w:r>
    </w:p>
    <w:p w:rsidR="00AF6D87" w:rsidRPr="00E43FAD" w:rsidRDefault="00272C6D" w:rsidP="009A6BB9">
      <w:pPr>
        <w:spacing w:line="360" w:lineRule="auto"/>
        <w:jc w:val="center"/>
        <w:rPr>
          <w:rFonts w:asciiTheme="majorEastAsia" w:eastAsiaTheme="majorEastAsia" w:hAnsiTheme="majorEastAsia"/>
          <w:b/>
          <w:color w:val="000000" w:themeColor="text1"/>
          <w:sz w:val="36"/>
          <w:szCs w:val="44"/>
        </w:rPr>
      </w:pPr>
      <w:r w:rsidRPr="00E43FAD">
        <w:rPr>
          <w:rFonts w:asciiTheme="majorEastAsia" w:eastAsiaTheme="majorEastAsia" w:hAnsiTheme="majorEastAsia" w:hint="eastAsia"/>
          <w:b/>
          <w:color w:val="000000" w:themeColor="text1"/>
          <w:sz w:val="36"/>
          <w:szCs w:val="44"/>
        </w:rPr>
        <w:t>能耗</w:t>
      </w:r>
      <w:r w:rsidR="00522DB0" w:rsidRPr="00E43FAD">
        <w:rPr>
          <w:rFonts w:asciiTheme="majorEastAsia" w:eastAsiaTheme="majorEastAsia" w:hAnsiTheme="majorEastAsia" w:hint="eastAsia"/>
          <w:b/>
          <w:color w:val="000000" w:themeColor="text1"/>
          <w:sz w:val="36"/>
          <w:szCs w:val="44"/>
        </w:rPr>
        <w:t>监测</w:t>
      </w:r>
      <w:r w:rsidR="00EE51E8" w:rsidRPr="00E43FAD">
        <w:rPr>
          <w:rFonts w:asciiTheme="majorEastAsia" w:eastAsiaTheme="majorEastAsia" w:hAnsiTheme="majorEastAsia" w:hint="eastAsia"/>
          <w:b/>
          <w:color w:val="000000" w:themeColor="text1"/>
          <w:sz w:val="36"/>
          <w:szCs w:val="44"/>
        </w:rPr>
        <w:t>及分析</w:t>
      </w:r>
      <w:r w:rsidR="00AF6D87" w:rsidRPr="00E43FAD">
        <w:rPr>
          <w:rFonts w:asciiTheme="majorEastAsia" w:eastAsiaTheme="majorEastAsia" w:hAnsiTheme="majorEastAsia" w:hint="eastAsia"/>
          <w:b/>
          <w:color w:val="000000" w:themeColor="text1"/>
          <w:sz w:val="36"/>
          <w:szCs w:val="44"/>
        </w:rPr>
        <w:t>报告</w:t>
      </w:r>
    </w:p>
    <w:p w:rsidR="00AF6D87" w:rsidRPr="00563479" w:rsidRDefault="00AF6D87" w:rsidP="00AF6D87">
      <w:pPr>
        <w:jc w:val="center"/>
        <w:rPr>
          <w:rFonts w:ascii="Times New Roman" w:hAnsi="Times New Roman"/>
          <w:color w:val="000000" w:themeColor="text1"/>
          <w:sz w:val="44"/>
          <w:szCs w:val="24"/>
        </w:rPr>
      </w:pPr>
    </w:p>
    <w:p w:rsidR="00AF6D87" w:rsidRDefault="00AF6D87" w:rsidP="00AF6D87">
      <w:pPr>
        <w:jc w:val="center"/>
        <w:rPr>
          <w:rFonts w:ascii="Times New Roman" w:hAnsi="Times New Roman"/>
          <w:color w:val="000000" w:themeColor="text1"/>
          <w:sz w:val="24"/>
          <w:szCs w:val="24"/>
        </w:rPr>
      </w:pPr>
    </w:p>
    <w:p w:rsidR="00272C6D" w:rsidRPr="00563479" w:rsidRDefault="00272C6D"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Default="00AF6D87" w:rsidP="00AF6D87">
      <w:pPr>
        <w:jc w:val="center"/>
        <w:rPr>
          <w:rFonts w:ascii="Times New Roman" w:hAnsi="Times New Roman"/>
          <w:color w:val="000000" w:themeColor="text1"/>
          <w:sz w:val="24"/>
          <w:szCs w:val="24"/>
        </w:rPr>
      </w:pPr>
    </w:p>
    <w:p w:rsidR="00272C6D" w:rsidRDefault="00272C6D" w:rsidP="00AF6D87">
      <w:pPr>
        <w:jc w:val="center"/>
        <w:rPr>
          <w:rFonts w:ascii="Times New Roman" w:hAnsi="Times New Roman"/>
          <w:color w:val="000000" w:themeColor="text1"/>
          <w:sz w:val="24"/>
          <w:szCs w:val="24"/>
        </w:rPr>
      </w:pPr>
    </w:p>
    <w:p w:rsidR="00BC68B2" w:rsidRDefault="00BC68B2" w:rsidP="00AF6D87">
      <w:pPr>
        <w:jc w:val="center"/>
        <w:rPr>
          <w:rFonts w:ascii="Times New Roman" w:hAnsi="Times New Roman"/>
          <w:color w:val="000000" w:themeColor="text1"/>
          <w:sz w:val="24"/>
          <w:szCs w:val="24"/>
        </w:rPr>
      </w:pPr>
    </w:p>
    <w:p w:rsidR="00BC68B2" w:rsidRDefault="00BC68B2" w:rsidP="00AF6D87">
      <w:pPr>
        <w:jc w:val="center"/>
        <w:rPr>
          <w:rFonts w:ascii="Times New Roman" w:hAnsi="Times New Roman"/>
          <w:color w:val="000000" w:themeColor="text1"/>
          <w:sz w:val="24"/>
          <w:szCs w:val="24"/>
        </w:rPr>
      </w:pPr>
    </w:p>
    <w:p w:rsidR="00BC68B2" w:rsidRPr="00563479" w:rsidRDefault="00BC68B2" w:rsidP="00AF6D87">
      <w:pPr>
        <w:jc w:val="cente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AF6D87" w:rsidRPr="00563479" w:rsidRDefault="00AF6D87" w:rsidP="00BC5494">
      <w:pPr>
        <w:rPr>
          <w:rFonts w:ascii="Times New Roman" w:hAnsi="Times New Roman"/>
          <w:color w:val="000000" w:themeColor="text1"/>
          <w:sz w:val="24"/>
          <w:szCs w:val="24"/>
        </w:rPr>
      </w:pPr>
    </w:p>
    <w:p w:rsidR="00AF6D87" w:rsidRPr="00563479" w:rsidRDefault="00AF6D87" w:rsidP="00AF6D87">
      <w:pPr>
        <w:jc w:val="center"/>
        <w:rPr>
          <w:rFonts w:ascii="Times New Roman" w:hAnsi="Times New Roman"/>
          <w:color w:val="000000" w:themeColor="text1"/>
          <w:sz w:val="24"/>
          <w:szCs w:val="24"/>
        </w:rPr>
      </w:pPr>
    </w:p>
    <w:p w:rsidR="00BC5494" w:rsidRPr="00E43FAD" w:rsidRDefault="00BC5494" w:rsidP="00BC5494">
      <w:pPr>
        <w:jc w:val="center"/>
        <w:rPr>
          <w:rFonts w:asciiTheme="minorEastAsia" w:eastAsiaTheme="minorEastAsia" w:hAnsiTheme="minorEastAsia"/>
          <w:b/>
          <w:color w:val="000000" w:themeColor="text1"/>
          <w:sz w:val="24"/>
          <w:szCs w:val="24"/>
        </w:rPr>
      </w:pPr>
      <w:r w:rsidRPr="00E43FAD">
        <w:rPr>
          <w:rFonts w:asciiTheme="minorEastAsia" w:eastAsiaTheme="minorEastAsia" w:hAnsiTheme="minorEastAsia"/>
          <w:b/>
          <w:color w:val="000000" w:themeColor="text1"/>
          <w:sz w:val="28"/>
          <w:szCs w:val="24"/>
        </w:rPr>
        <w:t>上海市</w:t>
      </w:r>
      <w:r w:rsidR="00517A2A" w:rsidRPr="00E43FAD">
        <w:rPr>
          <w:rFonts w:asciiTheme="minorEastAsia" w:eastAsiaTheme="minorEastAsia" w:hAnsiTheme="minorEastAsia"/>
          <w:b/>
          <w:color w:val="000000" w:themeColor="text1"/>
          <w:sz w:val="28"/>
          <w:szCs w:val="24"/>
        </w:rPr>
        <w:t>住房和</w:t>
      </w:r>
      <w:r w:rsidR="00517A2A" w:rsidRPr="00E43FAD">
        <w:rPr>
          <w:rFonts w:asciiTheme="minorEastAsia" w:eastAsiaTheme="minorEastAsia" w:hAnsiTheme="minorEastAsia" w:hint="eastAsia"/>
          <w:b/>
          <w:color w:val="000000" w:themeColor="text1"/>
          <w:sz w:val="28"/>
          <w:szCs w:val="24"/>
        </w:rPr>
        <w:t>城乡建设</w:t>
      </w:r>
      <w:r w:rsidRPr="00E43FAD">
        <w:rPr>
          <w:rFonts w:asciiTheme="minorEastAsia" w:eastAsiaTheme="minorEastAsia" w:hAnsiTheme="minorEastAsia" w:hint="eastAsia"/>
          <w:b/>
          <w:color w:val="000000" w:themeColor="text1"/>
          <w:sz w:val="28"/>
          <w:szCs w:val="24"/>
        </w:rPr>
        <w:t>管理委员会</w:t>
      </w:r>
    </w:p>
    <w:p w:rsidR="00092C49" w:rsidRPr="00E43FAD" w:rsidRDefault="00BC5494" w:rsidP="00BC68B2">
      <w:pPr>
        <w:jc w:val="center"/>
        <w:rPr>
          <w:rFonts w:asciiTheme="minorEastAsia" w:eastAsiaTheme="minorEastAsia" w:hAnsiTheme="minorEastAsia"/>
          <w:b/>
          <w:color w:val="000000" w:themeColor="text1"/>
          <w:sz w:val="28"/>
          <w:szCs w:val="24"/>
        </w:rPr>
      </w:pPr>
      <w:r w:rsidRPr="00E43FAD">
        <w:rPr>
          <w:rFonts w:asciiTheme="minorEastAsia" w:eastAsiaTheme="minorEastAsia" w:hAnsiTheme="minorEastAsia" w:hint="eastAsia"/>
          <w:b/>
          <w:color w:val="000000" w:themeColor="text1"/>
          <w:sz w:val="28"/>
          <w:szCs w:val="24"/>
        </w:rPr>
        <w:t>上海市发展和改革委员会</w:t>
      </w:r>
    </w:p>
    <w:p w:rsidR="00AF6D87" w:rsidRPr="00563479" w:rsidRDefault="00185E38" w:rsidP="00AF6D87">
      <w:pPr>
        <w:spacing w:line="360" w:lineRule="auto"/>
        <w:jc w:val="center"/>
        <w:rPr>
          <w:rFonts w:ascii="微软雅黑" w:eastAsia="微软雅黑" w:hAnsi="微软雅黑"/>
          <w:color w:val="000000" w:themeColor="text1"/>
          <w:sz w:val="28"/>
          <w:szCs w:val="24"/>
        </w:rPr>
      </w:pPr>
      <w:r w:rsidRPr="00E43FAD">
        <w:rPr>
          <w:rFonts w:asciiTheme="minorEastAsia" w:eastAsiaTheme="minorEastAsia" w:hAnsiTheme="minorEastAsia" w:hint="eastAsia"/>
          <w:b/>
          <w:color w:val="000000" w:themeColor="text1"/>
          <w:sz w:val="28"/>
          <w:szCs w:val="24"/>
        </w:rPr>
        <w:t>二〇一七</w:t>
      </w:r>
      <w:r w:rsidR="00AF6D87" w:rsidRPr="00E43FAD">
        <w:rPr>
          <w:rFonts w:asciiTheme="minorEastAsia" w:eastAsiaTheme="minorEastAsia" w:hAnsiTheme="minorEastAsia" w:hint="eastAsia"/>
          <w:b/>
          <w:color w:val="000000" w:themeColor="text1"/>
          <w:sz w:val="28"/>
          <w:szCs w:val="24"/>
        </w:rPr>
        <w:t>年</w:t>
      </w:r>
      <w:r w:rsidR="00DB66EC">
        <w:rPr>
          <w:rFonts w:asciiTheme="minorEastAsia" w:eastAsiaTheme="minorEastAsia" w:hAnsiTheme="minorEastAsia" w:hint="eastAsia"/>
          <w:b/>
          <w:color w:val="000000" w:themeColor="text1"/>
          <w:sz w:val="28"/>
          <w:szCs w:val="24"/>
        </w:rPr>
        <w:t>五</w:t>
      </w:r>
      <w:r w:rsidR="00AF6D87" w:rsidRPr="00E43FAD">
        <w:rPr>
          <w:rFonts w:asciiTheme="minorEastAsia" w:eastAsiaTheme="minorEastAsia" w:hAnsiTheme="minorEastAsia" w:hint="eastAsia"/>
          <w:b/>
          <w:color w:val="000000" w:themeColor="text1"/>
          <w:sz w:val="28"/>
          <w:szCs w:val="24"/>
        </w:rPr>
        <w:t>月</w:t>
      </w:r>
    </w:p>
    <w:p w:rsidR="00AF6D87" w:rsidRPr="00563479" w:rsidRDefault="00AF6D87" w:rsidP="00AF6D87">
      <w:pPr>
        <w:spacing w:line="360" w:lineRule="auto"/>
        <w:jc w:val="center"/>
        <w:rPr>
          <w:rFonts w:ascii="Times New Roman" w:hAnsi="Times New Roman"/>
          <w:color w:val="000000" w:themeColor="text1"/>
          <w:sz w:val="28"/>
          <w:szCs w:val="24"/>
        </w:rPr>
        <w:sectPr w:rsidR="00AF6D87" w:rsidRPr="00563479" w:rsidSect="00F016E5">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992" w:gutter="0"/>
          <w:cols w:space="425"/>
          <w:titlePg/>
          <w:docGrid w:type="lines" w:linePitch="312"/>
        </w:sectPr>
      </w:pPr>
    </w:p>
    <w:sdt>
      <w:sdtPr>
        <w:rPr>
          <w:rFonts w:ascii="Calibri" w:eastAsia="宋体" w:hAnsi="Calibri" w:cs="Times New Roman"/>
          <w:color w:val="000000" w:themeColor="text1"/>
          <w:kern w:val="2"/>
          <w:sz w:val="21"/>
          <w:szCs w:val="22"/>
          <w:lang w:val="zh-CN"/>
        </w:rPr>
        <w:id w:val="768732360"/>
        <w:docPartObj>
          <w:docPartGallery w:val="Table of Contents"/>
          <w:docPartUnique/>
        </w:docPartObj>
      </w:sdtPr>
      <w:sdtEndPr>
        <w:rPr>
          <w:rFonts w:ascii="Times New Roman" w:hAnsi="Times New Roman"/>
          <w:bCs/>
          <w:sz w:val="20"/>
        </w:rPr>
      </w:sdtEndPr>
      <w:sdtContent>
        <w:p w:rsidR="00A54238" w:rsidRPr="00D80D6A" w:rsidRDefault="00012634" w:rsidP="00E22622">
          <w:pPr>
            <w:pStyle w:val="TOC"/>
            <w:spacing w:line="25" w:lineRule="atLeast"/>
            <w:jc w:val="center"/>
            <w:rPr>
              <w:rFonts w:ascii="Arial" w:eastAsia="黑体" w:hAnsi="Arial" w:cs="Times New Roman"/>
              <w:color w:val="000000" w:themeColor="text1"/>
              <w:kern w:val="2"/>
              <w:sz w:val="28"/>
              <w:szCs w:val="28"/>
            </w:rPr>
          </w:pPr>
          <w:r w:rsidRPr="00D80D6A">
            <w:rPr>
              <w:rFonts w:ascii="Arial" w:eastAsia="黑体" w:hAnsi="Arial" w:cs="Times New Roman"/>
              <w:color w:val="000000" w:themeColor="text1"/>
              <w:kern w:val="2"/>
              <w:sz w:val="28"/>
              <w:szCs w:val="28"/>
            </w:rPr>
            <w:t>目录</w:t>
          </w:r>
        </w:p>
        <w:p w:rsidR="001246DB" w:rsidRPr="00AD68F4" w:rsidRDefault="000A48AD" w:rsidP="00DB66EC">
          <w:pPr>
            <w:pStyle w:val="10"/>
            <w:spacing w:before="156"/>
            <w:rPr>
              <w:rFonts w:eastAsiaTheme="minorEastAsia"/>
              <w:b w:val="0"/>
              <w:szCs w:val="22"/>
            </w:rPr>
          </w:pPr>
          <w:r w:rsidRPr="00E5583B">
            <w:rPr>
              <w:rStyle w:val="af4"/>
              <w:b w:val="0"/>
              <w:smallCaps/>
              <w:color w:val="000000" w:themeColor="text1"/>
              <w:sz w:val="24"/>
            </w:rPr>
            <w:fldChar w:fldCharType="begin"/>
          </w:r>
          <w:r w:rsidR="00012634" w:rsidRPr="00E5583B">
            <w:rPr>
              <w:rStyle w:val="af4"/>
              <w:b w:val="0"/>
              <w:smallCaps/>
              <w:color w:val="000000" w:themeColor="text1"/>
              <w:sz w:val="24"/>
            </w:rPr>
            <w:instrText xml:space="preserve"> TOC \o "1-3" \h \z \u </w:instrText>
          </w:r>
          <w:r w:rsidRPr="00E5583B">
            <w:rPr>
              <w:rStyle w:val="af4"/>
              <w:b w:val="0"/>
              <w:smallCaps/>
              <w:color w:val="000000" w:themeColor="text1"/>
              <w:sz w:val="24"/>
            </w:rPr>
            <w:fldChar w:fldCharType="separate"/>
          </w:r>
          <w:hyperlink w:anchor="_Toc479752993" w:history="1">
            <w:r w:rsidR="001246DB" w:rsidRPr="00AD68F4">
              <w:rPr>
                <w:rStyle w:val="af4"/>
                <w:rFonts w:eastAsia="黑体"/>
              </w:rPr>
              <w:t>前言</w:t>
            </w:r>
            <w:r w:rsidR="001246DB" w:rsidRPr="00AD68F4">
              <w:rPr>
                <w:webHidden/>
              </w:rPr>
              <w:tab/>
            </w:r>
            <w:r w:rsidRPr="00AD68F4">
              <w:rPr>
                <w:webHidden/>
              </w:rPr>
              <w:fldChar w:fldCharType="begin"/>
            </w:r>
            <w:r w:rsidR="001246DB" w:rsidRPr="00AD68F4">
              <w:rPr>
                <w:webHidden/>
              </w:rPr>
              <w:instrText xml:space="preserve"> PAGEREF _Toc479752993 \h </w:instrText>
            </w:r>
            <w:r w:rsidRPr="00AD68F4">
              <w:rPr>
                <w:webHidden/>
              </w:rPr>
            </w:r>
            <w:r w:rsidRPr="00AD68F4">
              <w:rPr>
                <w:webHidden/>
              </w:rPr>
              <w:fldChar w:fldCharType="separate"/>
            </w:r>
            <w:r w:rsidR="001246DB" w:rsidRPr="00AD68F4">
              <w:rPr>
                <w:webHidden/>
              </w:rPr>
              <w:t>1</w:t>
            </w:r>
            <w:r w:rsidRPr="00AD68F4">
              <w:rPr>
                <w:webHidden/>
              </w:rPr>
              <w:fldChar w:fldCharType="end"/>
            </w:r>
          </w:hyperlink>
        </w:p>
        <w:p w:rsidR="001246DB" w:rsidRPr="00AD68F4" w:rsidRDefault="000A48AD" w:rsidP="00DB66EC">
          <w:pPr>
            <w:pStyle w:val="10"/>
            <w:spacing w:before="156"/>
            <w:rPr>
              <w:rFonts w:eastAsiaTheme="minorEastAsia"/>
              <w:b w:val="0"/>
              <w:szCs w:val="22"/>
            </w:rPr>
          </w:pPr>
          <w:hyperlink w:anchor="_Toc479752994" w:history="1">
            <w:r w:rsidR="001246DB" w:rsidRPr="00AD68F4">
              <w:rPr>
                <w:rStyle w:val="af4"/>
                <w:rFonts w:eastAsia="黑体"/>
              </w:rPr>
              <w:t>一、全市篇</w:t>
            </w:r>
            <w:r w:rsidR="001246DB" w:rsidRPr="00AD68F4">
              <w:rPr>
                <w:webHidden/>
              </w:rPr>
              <w:tab/>
            </w:r>
            <w:r w:rsidRPr="00AD68F4">
              <w:rPr>
                <w:webHidden/>
              </w:rPr>
              <w:fldChar w:fldCharType="begin"/>
            </w:r>
            <w:r w:rsidR="001246DB" w:rsidRPr="00AD68F4">
              <w:rPr>
                <w:webHidden/>
              </w:rPr>
              <w:instrText xml:space="preserve"> PAGEREF _Toc479752994 \h </w:instrText>
            </w:r>
            <w:r w:rsidRPr="00AD68F4">
              <w:rPr>
                <w:webHidden/>
              </w:rPr>
            </w:r>
            <w:r w:rsidRPr="00AD68F4">
              <w:rPr>
                <w:webHidden/>
              </w:rPr>
              <w:fldChar w:fldCharType="separate"/>
            </w:r>
            <w:r w:rsidR="001246DB" w:rsidRPr="00AD68F4">
              <w:rPr>
                <w:webHidden/>
              </w:rPr>
              <w:t>3</w:t>
            </w:r>
            <w:r w:rsidRPr="00AD68F4">
              <w:rPr>
                <w:webHidden/>
              </w:rPr>
              <w:fldChar w:fldCharType="end"/>
            </w:r>
          </w:hyperlink>
        </w:p>
        <w:p w:rsidR="001246DB" w:rsidRPr="00AD68F4" w:rsidRDefault="000A48AD" w:rsidP="001246DB">
          <w:pPr>
            <w:pStyle w:val="20"/>
            <w:rPr>
              <w:rFonts w:ascii="Times New Roman" w:eastAsiaTheme="minorEastAsia" w:hAnsi="Times New Roman"/>
              <w:noProof/>
            </w:rPr>
          </w:pPr>
          <w:hyperlink w:anchor="_Toc479752995" w:history="1">
            <w:r w:rsidR="001246DB" w:rsidRPr="00AD68F4">
              <w:rPr>
                <w:rStyle w:val="af4"/>
                <w:rFonts w:ascii="Times New Roman" w:eastAsia="黑体" w:hAnsi="Times New Roman"/>
                <w:noProof/>
              </w:rPr>
              <w:t>（一）总体分析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_Toc479752995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3</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2996" w:history="1">
            <w:r w:rsidR="001246DB" w:rsidRPr="00AD68F4">
              <w:rPr>
                <w:rStyle w:val="af4"/>
                <w:rFonts w:ascii="Times New Roman" w:eastAsia="黑体" w:hAnsi="Times New Roman"/>
                <w:noProof/>
              </w:rPr>
              <w:t>1</w:t>
            </w:r>
            <w:r w:rsidR="001246DB" w:rsidRPr="00AD68F4">
              <w:rPr>
                <w:rStyle w:val="af4"/>
                <w:rFonts w:ascii="Times New Roman" w:eastAsia="黑体" w:hAnsi="Times New Roman"/>
                <w:noProof/>
              </w:rPr>
              <w:t>、综述</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_Toc479752996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3</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2997" w:history="1">
            <w:r w:rsidR="001246DB" w:rsidRPr="00AD68F4">
              <w:rPr>
                <w:rStyle w:val="af4"/>
                <w:rFonts w:ascii="Times New Roman" w:eastAsia="黑体" w:hAnsi="Times New Roman"/>
                <w:noProof/>
              </w:rPr>
              <w:t>2</w:t>
            </w:r>
            <w:r w:rsidR="001246DB" w:rsidRPr="00AD68F4">
              <w:rPr>
                <w:rStyle w:val="af4"/>
                <w:rFonts w:ascii="Times New Roman" w:eastAsia="黑体" w:hAnsi="Times New Roman"/>
                <w:noProof/>
              </w:rPr>
              <w:t>、年度总用电量情况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_Toc479752997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6</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2998" w:history="1">
            <w:r w:rsidR="001246DB" w:rsidRPr="00AD68F4">
              <w:rPr>
                <w:rStyle w:val="af4"/>
                <w:rFonts w:ascii="Times New Roman" w:eastAsia="黑体" w:hAnsi="Times New Roman"/>
                <w:noProof/>
              </w:rPr>
              <w:t>3</w:t>
            </w:r>
            <w:r w:rsidR="001246DB" w:rsidRPr="00AD68F4">
              <w:rPr>
                <w:rStyle w:val="af4"/>
                <w:rFonts w:ascii="Times New Roman" w:eastAsia="黑体" w:hAnsi="Times New Roman"/>
                <w:noProof/>
              </w:rPr>
              <w:t>、历年用电量变化情况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_Toc479752998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7</w:t>
            </w:r>
            <w:r w:rsidRPr="00AD68F4">
              <w:rPr>
                <w:rFonts w:ascii="Times New Roman" w:hAnsi="Times New Roman"/>
                <w:noProof/>
                <w:webHidden/>
              </w:rPr>
              <w:fldChar w:fldCharType="end"/>
            </w:r>
          </w:hyperlink>
        </w:p>
        <w:p w:rsidR="001246DB" w:rsidRPr="00AD68F4" w:rsidRDefault="000A48AD" w:rsidP="001246DB">
          <w:pPr>
            <w:pStyle w:val="20"/>
            <w:rPr>
              <w:rFonts w:ascii="Times New Roman" w:eastAsiaTheme="minorEastAsia" w:hAnsi="Times New Roman"/>
              <w:noProof/>
            </w:rPr>
          </w:pPr>
          <w:hyperlink w:anchor="_Toc479752999" w:history="1">
            <w:r w:rsidR="001246DB" w:rsidRPr="00AD68F4">
              <w:rPr>
                <w:rStyle w:val="af4"/>
                <w:rFonts w:ascii="Times New Roman" w:eastAsia="黑体" w:hAnsi="Times New Roman"/>
                <w:noProof/>
              </w:rPr>
              <w:t>（二）专题分析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_Toc479752999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8</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00" w:history="1">
            <w:r w:rsidR="001246DB" w:rsidRPr="00AD68F4">
              <w:rPr>
                <w:rStyle w:val="af4"/>
                <w:rFonts w:ascii="Times New Roman" w:eastAsia="黑体" w:hAnsi="Times New Roman"/>
                <w:noProof/>
              </w:rPr>
              <w:t>1</w:t>
            </w:r>
            <w:r w:rsidR="001246DB" w:rsidRPr="00AD68F4">
              <w:rPr>
                <w:rStyle w:val="af4"/>
                <w:rFonts w:ascii="Times New Roman" w:eastAsia="黑体" w:hAnsi="Times New Roman"/>
                <w:noProof/>
              </w:rPr>
              <w:t>、供热季、过渡季、制冷季用电量情况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_Toc479753000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8</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01" w:history="1">
            <w:r w:rsidR="001246DB" w:rsidRPr="00AD68F4">
              <w:rPr>
                <w:rStyle w:val="af4"/>
                <w:rFonts w:ascii="Times New Roman" w:eastAsia="黑体" w:hAnsi="Times New Roman"/>
                <w:noProof/>
              </w:rPr>
              <w:t>2</w:t>
            </w:r>
            <w:r w:rsidR="001246DB" w:rsidRPr="00AD68F4">
              <w:rPr>
                <w:rStyle w:val="af4"/>
                <w:rFonts w:ascii="Times New Roman" w:eastAsia="黑体" w:hAnsi="Times New Roman"/>
                <w:noProof/>
              </w:rPr>
              <w:t>、能耗指数</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_Toc479753001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10</w:t>
            </w:r>
            <w:r w:rsidRPr="00AD68F4">
              <w:rPr>
                <w:rFonts w:ascii="Times New Roman" w:hAnsi="Times New Roman"/>
                <w:noProof/>
                <w:webHidden/>
              </w:rPr>
              <w:fldChar w:fldCharType="end"/>
            </w:r>
          </w:hyperlink>
        </w:p>
        <w:p w:rsidR="001246DB" w:rsidRPr="00AD68F4" w:rsidRDefault="000A48AD" w:rsidP="00DB66EC">
          <w:pPr>
            <w:pStyle w:val="10"/>
            <w:spacing w:before="156"/>
            <w:rPr>
              <w:rFonts w:eastAsiaTheme="minorEastAsia"/>
              <w:b w:val="0"/>
              <w:szCs w:val="22"/>
            </w:rPr>
          </w:pPr>
          <w:hyperlink w:anchor="_Toc479753002" w:history="1">
            <w:r w:rsidR="001246DB" w:rsidRPr="00AD68F4">
              <w:rPr>
                <w:rStyle w:val="af4"/>
                <w:rFonts w:eastAsia="黑体"/>
              </w:rPr>
              <w:t>二、区域篇</w:t>
            </w:r>
            <w:r w:rsidR="001246DB" w:rsidRPr="00AD68F4">
              <w:rPr>
                <w:webHidden/>
              </w:rPr>
              <w:tab/>
            </w:r>
            <w:r w:rsidRPr="00AD68F4">
              <w:rPr>
                <w:webHidden/>
              </w:rPr>
              <w:fldChar w:fldCharType="begin"/>
            </w:r>
            <w:r w:rsidR="001246DB" w:rsidRPr="00AD68F4">
              <w:rPr>
                <w:webHidden/>
              </w:rPr>
              <w:instrText xml:space="preserve"> PAGEREF _Toc479753002 \h </w:instrText>
            </w:r>
            <w:r w:rsidRPr="00AD68F4">
              <w:rPr>
                <w:webHidden/>
              </w:rPr>
            </w:r>
            <w:r w:rsidRPr="00AD68F4">
              <w:rPr>
                <w:webHidden/>
              </w:rPr>
              <w:fldChar w:fldCharType="separate"/>
            </w:r>
            <w:r w:rsidR="001246DB" w:rsidRPr="00AD68F4">
              <w:rPr>
                <w:webHidden/>
              </w:rPr>
              <w:t>11</w:t>
            </w:r>
            <w:r w:rsidRPr="00AD68F4">
              <w:rPr>
                <w:webHidden/>
              </w:rPr>
              <w:fldChar w:fldCharType="end"/>
            </w:r>
          </w:hyperlink>
        </w:p>
        <w:p w:rsidR="001246DB" w:rsidRPr="00AD68F4" w:rsidRDefault="000A48AD" w:rsidP="001246DB">
          <w:pPr>
            <w:pStyle w:val="20"/>
            <w:rPr>
              <w:rFonts w:ascii="Times New Roman" w:eastAsiaTheme="minorEastAsia" w:hAnsi="Times New Roman"/>
              <w:noProof/>
            </w:rPr>
          </w:pPr>
          <w:hyperlink w:anchor="_Toc479753003" w:history="1">
            <w:r w:rsidR="001246DB" w:rsidRPr="00AD68F4">
              <w:rPr>
                <w:rStyle w:val="af4"/>
                <w:rFonts w:ascii="Times New Roman" w:eastAsia="黑体" w:hAnsi="Times New Roman"/>
                <w:noProof/>
              </w:rPr>
              <w:t>（一）各区概况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_Toc479753003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11</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04" w:history="1">
            <w:r w:rsidR="001246DB" w:rsidRPr="00AD68F4">
              <w:rPr>
                <w:rStyle w:val="af4"/>
                <w:rFonts w:ascii="Times New Roman" w:eastAsia="黑体" w:hAnsi="Times New Roman"/>
                <w:noProof/>
              </w:rPr>
              <w:t>1</w:t>
            </w:r>
            <w:r w:rsidR="001246DB" w:rsidRPr="00AD68F4">
              <w:rPr>
                <w:rStyle w:val="af4"/>
                <w:rFonts w:ascii="Times New Roman" w:eastAsia="黑体" w:hAnsi="Times New Roman"/>
                <w:noProof/>
              </w:rPr>
              <w:t>、各区在线监测建筑接入情况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_Toc479753004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11</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05" w:history="1">
            <w:r w:rsidR="001246DB" w:rsidRPr="00AD68F4">
              <w:rPr>
                <w:rStyle w:val="af4"/>
                <w:rFonts w:ascii="Times New Roman" w:eastAsia="黑体" w:hAnsi="Times New Roman"/>
                <w:noProof/>
              </w:rPr>
              <w:t>2</w:t>
            </w:r>
            <w:r w:rsidR="001246DB" w:rsidRPr="00AD68F4">
              <w:rPr>
                <w:rStyle w:val="af4"/>
                <w:rFonts w:ascii="Times New Roman" w:eastAsia="黑体" w:hAnsi="Times New Roman"/>
                <w:noProof/>
              </w:rPr>
              <w:t>、部分区级能耗监测平台工作介绍</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_Toc479753005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12</w:t>
            </w:r>
            <w:r w:rsidRPr="00AD68F4">
              <w:rPr>
                <w:rFonts w:ascii="Times New Roman" w:hAnsi="Times New Roman"/>
                <w:noProof/>
                <w:webHidden/>
              </w:rPr>
              <w:fldChar w:fldCharType="end"/>
            </w:r>
          </w:hyperlink>
        </w:p>
        <w:p w:rsidR="001246DB" w:rsidRPr="00AD68F4" w:rsidRDefault="000A48AD" w:rsidP="001246DB">
          <w:pPr>
            <w:pStyle w:val="20"/>
            <w:rPr>
              <w:rFonts w:ascii="Times New Roman" w:eastAsiaTheme="minorEastAsia" w:hAnsi="Times New Roman"/>
              <w:noProof/>
            </w:rPr>
          </w:pPr>
          <w:hyperlink w:anchor="_Toc479753006" w:history="1">
            <w:r w:rsidR="001246DB" w:rsidRPr="00AD68F4">
              <w:rPr>
                <w:rStyle w:val="af4"/>
                <w:rFonts w:ascii="Times New Roman" w:eastAsia="黑体" w:hAnsi="Times New Roman"/>
                <w:noProof/>
              </w:rPr>
              <w:t>（二）城区分析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_Toc479753006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14</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07" w:history="1">
            <w:r w:rsidR="001246DB" w:rsidRPr="00AD68F4">
              <w:rPr>
                <w:rStyle w:val="af4"/>
                <w:rFonts w:ascii="Times New Roman" w:eastAsia="黑体" w:hAnsi="Times New Roman"/>
                <w:noProof/>
              </w:rPr>
              <w:t>1</w:t>
            </w:r>
            <w:r w:rsidR="001246DB" w:rsidRPr="00AD68F4">
              <w:rPr>
                <w:rStyle w:val="af4"/>
                <w:rFonts w:ascii="Times New Roman" w:eastAsia="黑体" w:hAnsi="Times New Roman"/>
                <w:noProof/>
              </w:rPr>
              <w:t>、中心城区与非中心城区在线监测建筑数量分布情况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_Toc479753007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14</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08" w:history="1">
            <w:r w:rsidR="001246DB" w:rsidRPr="00AD68F4">
              <w:rPr>
                <w:rStyle w:val="af4"/>
                <w:rFonts w:ascii="Times New Roman" w:eastAsia="黑体" w:hAnsi="Times New Roman"/>
                <w:noProof/>
              </w:rPr>
              <w:t>2</w:t>
            </w:r>
            <w:r w:rsidR="001246DB" w:rsidRPr="00AD68F4">
              <w:rPr>
                <w:rStyle w:val="af4"/>
                <w:rFonts w:ascii="Times New Roman" w:eastAsia="黑体" w:hAnsi="Times New Roman"/>
                <w:noProof/>
              </w:rPr>
              <w:t>、中心城区与非中心城区建筑用电量情况分析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_Toc479753008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15</w:t>
            </w:r>
            <w:r w:rsidRPr="00AD68F4">
              <w:rPr>
                <w:rFonts w:ascii="Times New Roman" w:hAnsi="Times New Roman"/>
                <w:noProof/>
                <w:webHidden/>
              </w:rPr>
              <w:fldChar w:fldCharType="end"/>
            </w:r>
          </w:hyperlink>
        </w:p>
        <w:p w:rsidR="001246DB" w:rsidRPr="00AD68F4" w:rsidRDefault="000A48AD" w:rsidP="00DB66EC">
          <w:pPr>
            <w:pStyle w:val="10"/>
            <w:spacing w:before="156"/>
            <w:rPr>
              <w:rFonts w:eastAsiaTheme="minorEastAsia"/>
              <w:b w:val="0"/>
              <w:szCs w:val="22"/>
            </w:rPr>
          </w:pPr>
          <w:hyperlink w:anchor="_Toc479753009" w:history="1">
            <w:r w:rsidR="001246DB" w:rsidRPr="00AD68F4">
              <w:rPr>
                <w:rStyle w:val="af4"/>
                <w:rFonts w:eastAsia="黑体"/>
              </w:rPr>
              <w:t>三、行业篇</w:t>
            </w:r>
            <w:r w:rsidR="001246DB" w:rsidRPr="00AD68F4">
              <w:rPr>
                <w:webHidden/>
              </w:rPr>
              <w:tab/>
            </w:r>
            <w:r w:rsidRPr="00AD68F4">
              <w:rPr>
                <w:webHidden/>
              </w:rPr>
              <w:fldChar w:fldCharType="begin"/>
            </w:r>
            <w:r w:rsidR="001246DB" w:rsidRPr="00AD68F4">
              <w:rPr>
                <w:webHidden/>
              </w:rPr>
              <w:instrText xml:space="preserve"> PAGEREF _Toc479753009 \h </w:instrText>
            </w:r>
            <w:r w:rsidRPr="00AD68F4">
              <w:rPr>
                <w:webHidden/>
              </w:rPr>
            </w:r>
            <w:r w:rsidRPr="00AD68F4">
              <w:rPr>
                <w:webHidden/>
              </w:rPr>
              <w:fldChar w:fldCharType="separate"/>
            </w:r>
            <w:r w:rsidR="001246DB" w:rsidRPr="00AD68F4">
              <w:rPr>
                <w:webHidden/>
              </w:rPr>
              <w:t>18</w:t>
            </w:r>
            <w:r w:rsidRPr="00AD68F4">
              <w:rPr>
                <w:webHidden/>
              </w:rPr>
              <w:fldChar w:fldCharType="end"/>
            </w:r>
          </w:hyperlink>
        </w:p>
        <w:p w:rsidR="001246DB" w:rsidRPr="00AD68F4" w:rsidRDefault="000A48AD" w:rsidP="001246DB">
          <w:pPr>
            <w:pStyle w:val="20"/>
            <w:rPr>
              <w:rFonts w:ascii="Times New Roman" w:eastAsiaTheme="minorEastAsia" w:hAnsi="Times New Roman"/>
              <w:noProof/>
            </w:rPr>
          </w:pPr>
          <w:hyperlink w:anchor="_Toc479753010" w:history="1">
            <w:r w:rsidR="001246DB" w:rsidRPr="00AD68F4">
              <w:rPr>
                <w:rStyle w:val="af4"/>
                <w:rFonts w:ascii="Times New Roman" w:eastAsia="黑体" w:hAnsi="Times New Roman"/>
                <w:noProof/>
              </w:rPr>
              <w:t>（一）分类建筑用电分析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_Toc479753010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18</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11" w:history="1">
            <w:r w:rsidR="001246DB" w:rsidRPr="00AD68F4">
              <w:rPr>
                <w:rStyle w:val="af4"/>
                <w:rFonts w:ascii="Times New Roman" w:eastAsia="黑体" w:hAnsi="Times New Roman"/>
                <w:noProof/>
              </w:rPr>
              <w:t>1</w:t>
            </w:r>
            <w:r w:rsidR="001246DB" w:rsidRPr="00AD68F4">
              <w:rPr>
                <w:rStyle w:val="af4"/>
                <w:rFonts w:ascii="Times New Roman" w:eastAsia="黑体" w:hAnsi="Times New Roman"/>
                <w:noProof/>
              </w:rPr>
              <w:t>、年度各类型建筑用电强度</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_Toc479753011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18</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12" w:history="1">
            <w:r w:rsidR="001246DB" w:rsidRPr="00AD68F4">
              <w:rPr>
                <w:rStyle w:val="af4"/>
                <w:rFonts w:ascii="Times New Roman" w:eastAsia="黑体" w:hAnsi="Times New Roman"/>
                <w:noProof/>
              </w:rPr>
              <w:t>2</w:t>
            </w:r>
            <w:r w:rsidR="001246DB" w:rsidRPr="00AD68F4">
              <w:rPr>
                <w:rStyle w:val="af4"/>
                <w:rFonts w:ascii="Times New Roman" w:eastAsia="黑体" w:hAnsi="Times New Roman"/>
                <w:noProof/>
              </w:rPr>
              <w:t>、主要类型建筑历年用电强度变化情况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_Toc479753012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19</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13" w:history="1">
            <w:r w:rsidR="001246DB" w:rsidRPr="00AD68F4">
              <w:rPr>
                <w:rStyle w:val="af4"/>
                <w:rFonts w:ascii="Times New Roman" w:eastAsia="黑体" w:hAnsi="Times New Roman"/>
                <w:noProof/>
              </w:rPr>
              <w:t>3</w:t>
            </w:r>
            <w:r w:rsidR="001246DB" w:rsidRPr="00AD68F4">
              <w:rPr>
                <w:rStyle w:val="af4"/>
                <w:rFonts w:ascii="Times New Roman" w:eastAsia="黑体" w:hAnsi="Times New Roman"/>
                <w:noProof/>
              </w:rPr>
              <w:t>、工作日与非工作日主要类型建筑用电情况分析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_Toc479753013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20</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14" w:history="1">
            <w:r w:rsidR="001246DB" w:rsidRPr="00AD68F4">
              <w:rPr>
                <w:rStyle w:val="af4"/>
                <w:rFonts w:ascii="Times New Roman" w:eastAsia="黑体" w:hAnsi="Times New Roman"/>
                <w:noProof/>
              </w:rPr>
              <w:t>4</w:t>
            </w:r>
            <w:r w:rsidR="001246DB" w:rsidRPr="00AD68F4">
              <w:rPr>
                <w:rStyle w:val="af4"/>
                <w:rFonts w:ascii="Times New Roman" w:eastAsia="黑体" w:hAnsi="Times New Roman"/>
                <w:noProof/>
              </w:rPr>
              <w:t>、主要类型建筑分项用电占比情况</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_Toc479753014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21</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15" w:history="1">
            <w:r w:rsidR="001246DB" w:rsidRPr="00AD68F4">
              <w:rPr>
                <w:rStyle w:val="af4"/>
                <w:rFonts w:ascii="Times New Roman" w:eastAsia="黑体" w:hAnsi="Times New Roman"/>
                <w:noProof/>
              </w:rPr>
              <w:t>5</w:t>
            </w:r>
            <w:r w:rsidR="001246DB" w:rsidRPr="00AD68F4">
              <w:rPr>
                <w:rStyle w:val="af4"/>
                <w:rFonts w:ascii="Times New Roman" w:eastAsia="黑体" w:hAnsi="Times New Roman"/>
                <w:noProof/>
              </w:rPr>
              <w:t>、超大型公共建筑年用电强度分析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_Toc479753015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22</w:t>
            </w:r>
            <w:r w:rsidRPr="00AD68F4">
              <w:rPr>
                <w:rFonts w:ascii="Times New Roman" w:hAnsi="Times New Roman"/>
                <w:noProof/>
                <w:webHidden/>
              </w:rPr>
              <w:fldChar w:fldCharType="end"/>
            </w:r>
          </w:hyperlink>
          <w:bookmarkStart w:id="0" w:name="_GoBack"/>
          <w:bookmarkEnd w:id="0"/>
        </w:p>
        <w:p w:rsidR="001246DB" w:rsidRPr="00AD68F4" w:rsidRDefault="000A48AD" w:rsidP="001246DB">
          <w:pPr>
            <w:pStyle w:val="20"/>
            <w:rPr>
              <w:rFonts w:ascii="Times New Roman" w:eastAsiaTheme="minorEastAsia" w:hAnsi="Times New Roman"/>
              <w:noProof/>
            </w:rPr>
          </w:pPr>
          <w:hyperlink w:anchor="_Toc479753016" w:history="1">
            <w:r w:rsidR="001246DB" w:rsidRPr="00AD68F4">
              <w:rPr>
                <w:rStyle w:val="af4"/>
                <w:rFonts w:ascii="Times New Roman" w:eastAsia="黑体" w:hAnsi="Times New Roman"/>
                <w:noProof/>
              </w:rPr>
              <w:t>（二）典型建筑用能对标</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_Toc479753016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23</w:t>
            </w:r>
            <w:r w:rsidRPr="00AD68F4">
              <w:rPr>
                <w:rFonts w:ascii="Times New Roman" w:hAnsi="Times New Roman"/>
                <w:noProof/>
                <w:webHidden/>
              </w:rPr>
              <w:fldChar w:fldCharType="end"/>
            </w:r>
          </w:hyperlink>
        </w:p>
        <w:p w:rsidR="001246DB" w:rsidRPr="00AD68F4" w:rsidRDefault="000A48AD">
          <w:pPr>
            <w:pStyle w:val="30"/>
            <w:tabs>
              <w:tab w:val="right" w:leader="dot" w:pos="8296"/>
            </w:tabs>
            <w:rPr>
              <w:rFonts w:ascii="Times New Roman" w:eastAsiaTheme="minorEastAsia" w:hAnsi="Times New Roman"/>
              <w:noProof/>
            </w:rPr>
          </w:pPr>
          <w:hyperlink w:anchor="_Toc479753017" w:history="1">
            <w:r w:rsidR="001246DB" w:rsidRPr="00AD68F4">
              <w:rPr>
                <w:rStyle w:val="af4"/>
                <w:rFonts w:ascii="Times New Roman" w:eastAsia="黑体" w:hAnsi="Times New Roman"/>
                <w:noProof/>
              </w:rPr>
              <w:t>1</w:t>
            </w:r>
            <w:r w:rsidR="001246DB" w:rsidRPr="00AD68F4">
              <w:rPr>
                <w:rStyle w:val="af4"/>
                <w:rFonts w:ascii="Times New Roman" w:eastAsia="黑体" w:hAnsi="Times New Roman"/>
                <w:noProof/>
              </w:rPr>
              <w:t>、典型行业建筑总体对标分析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_Toc479753017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23</w:t>
            </w:r>
            <w:r w:rsidRPr="00AD68F4">
              <w:rPr>
                <w:rFonts w:ascii="Times New Roman" w:hAnsi="Times New Roman"/>
                <w:noProof/>
                <w:webHidden/>
              </w:rPr>
              <w:fldChar w:fldCharType="end"/>
            </w:r>
          </w:hyperlink>
        </w:p>
        <w:p w:rsidR="001246DB" w:rsidRDefault="000A48AD">
          <w:pPr>
            <w:pStyle w:val="30"/>
            <w:tabs>
              <w:tab w:val="right" w:leader="dot" w:pos="8296"/>
            </w:tabs>
            <w:rPr>
              <w:rFonts w:asciiTheme="minorHAnsi" w:eastAsiaTheme="minorEastAsia" w:hAnsiTheme="minorHAnsi" w:cstheme="minorBidi"/>
              <w:noProof/>
            </w:rPr>
          </w:pPr>
          <w:hyperlink w:anchor="_Toc479753018" w:history="1">
            <w:r w:rsidR="001246DB" w:rsidRPr="00AD68F4">
              <w:rPr>
                <w:rStyle w:val="af4"/>
                <w:rFonts w:ascii="Times New Roman" w:eastAsia="黑体" w:hAnsi="Times New Roman"/>
                <w:noProof/>
              </w:rPr>
              <w:t>2</w:t>
            </w:r>
            <w:r w:rsidR="001246DB" w:rsidRPr="00AD68F4">
              <w:rPr>
                <w:rStyle w:val="af4"/>
                <w:rFonts w:ascii="Times New Roman" w:eastAsia="黑体" w:hAnsi="Times New Roman"/>
                <w:noProof/>
              </w:rPr>
              <w:t>、典型案例建筑能耗对标分析</w:t>
            </w:r>
            <w:r w:rsidR="001246DB" w:rsidRPr="00AD68F4">
              <w:rPr>
                <w:rFonts w:ascii="Times New Roman" w:hAnsi="Times New Roman"/>
                <w:noProof/>
                <w:webHidden/>
              </w:rPr>
              <w:tab/>
            </w:r>
            <w:r w:rsidRPr="00AD68F4">
              <w:rPr>
                <w:rFonts w:ascii="Times New Roman" w:hAnsi="Times New Roman"/>
                <w:noProof/>
                <w:webHidden/>
              </w:rPr>
              <w:fldChar w:fldCharType="begin"/>
            </w:r>
            <w:r w:rsidR="001246DB" w:rsidRPr="00AD68F4">
              <w:rPr>
                <w:rFonts w:ascii="Times New Roman" w:hAnsi="Times New Roman"/>
                <w:noProof/>
                <w:webHidden/>
              </w:rPr>
              <w:instrText xml:space="preserve"> PAGEREF _Toc479753018 \h </w:instrText>
            </w:r>
            <w:r w:rsidRPr="00AD68F4">
              <w:rPr>
                <w:rFonts w:ascii="Times New Roman" w:hAnsi="Times New Roman"/>
                <w:noProof/>
                <w:webHidden/>
              </w:rPr>
            </w:r>
            <w:r w:rsidRPr="00AD68F4">
              <w:rPr>
                <w:rFonts w:ascii="Times New Roman" w:hAnsi="Times New Roman"/>
                <w:noProof/>
                <w:webHidden/>
              </w:rPr>
              <w:fldChar w:fldCharType="separate"/>
            </w:r>
            <w:r w:rsidR="001246DB" w:rsidRPr="00AD68F4">
              <w:rPr>
                <w:rFonts w:ascii="Times New Roman" w:hAnsi="Times New Roman"/>
                <w:noProof/>
                <w:webHidden/>
              </w:rPr>
              <w:t>25</w:t>
            </w:r>
            <w:r w:rsidRPr="00AD68F4">
              <w:rPr>
                <w:rFonts w:ascii="Times New Roman" w:hAnsi="Times New Roman"/>
                <w:noProof/>
                <w:webHidden/>
              </w:rPr>
              <w:fldChar w:fldCharType="end"/>
            </w:r>
          </w:hyperlink>
        </w:p>
        <w:p w:rsidR="00805A69" w:rsidRPr="00185E38" w:rsidRDefault="000A48AD" w:rsidP="00D80D6A">
          <w:pPr>
            <w:spacing w:line="380" w:lineRule="exact"/>
            <w:jc w:val="left"/>
            <w:rPr>
              <w:rFonts w:ascii="Times New Roman" w:eastAsia="仿宋_GB2312" w:hAnsi="Times New Roman"/>
              <w:smallCaps/>
              <w:noProof/>
              <w:color w:val="000000" w:themeColor="text1"/>
              <w:sz w:val="24"/>
              <w:szCs w:val="24"/>
              <w:u w:val="single"/>
            </w:rPr>
            <w:sectPr w:rsidR="00805A69" w:rsidRPr="00185E38" w:rsidSect="00F016E5">
              <w:footerReference w:type="default" r:id="rId14"/>
              <w:pgSz w:w="11906" w:h="16838"/>
              <w:pgMar w:top="1440" w:right="1800" w:bottom="1440" w:left="1800" w:header="851" w:footer="992" w:gutter="0"/>
              <w:cols w:space="425"/>
              <w:docGrid w:type="lines" w:linePitch="312"/>
            </w:sectPr>
          </w:pPr>
          <w:r w:rsidRPr="00E5583B">
            <w:rPr>
              <w:rStyle w:val="af4"/>
              <w:rFonts w:ascii="Times New Roman" w:eastAsia="仿宋_GB2312" w:hAnsi="Times New Roman"/>
              <w:smallCaps/>
              <w:noProof/>
              <w:color w:val="000000" w:themeColor="text1"/>
              <w:sz w:val="24"/>
              <w:szCs w:val="24"/>
            </w:rPr>
            <w:fldChar w:fldCharType="end"/>
          </w:r>
        </w:p>
      </w:sdtContent>
    </w:sdt>
    <w:p w:rsidR="00272C6D" w:rsidRPr="00272C6D" w:rsidRDefault="00272C6D" w:rsidP="00272C6D">
      <w:pPr>
        <w:pStyle w:val="1"/>
        <w:rPr>
          <w:rFonts w:ascii="黑体" w:eastAsia="黑体" w:hAnsi="黑体" w:cstheme="minorBidi"/>
          <w:bCs w:val="0"/>
          <w:kern w:val="2"/>
          <w:sz w:val="32"/>
          <w:szCs w:val="30"/>
        </w:rPr>
      </w:pPr>
      <w:bookmarkStart w:id="1" w:name="_Toc479752993"/>
      <w:r w:rsidRPr="00272C6D">
        <w:rPr>
          <w:rFonts w:ascii="黑体" w:eastAsia="黑体" w:hAnsi="黑体" w:cstheme="minorBidi" w:hint="eastAsia"/>
          <w:bCs w:val="0"/>
          <w:kern w:val="2"/>
          <w:sz w:val="32"/>
          <w:szCs w:val="30"/>
        </w:rPr>
        <w:lastRenderedPageBreak/>
        <w:t>前言</w:t>
      </w:r>
      <w:bookmarkEnd w:id="1"/>
    </w:p>
    <w:p w:rsidR="00EE017D" w:rsidRPr="00DA4364" w:rsidRDefault="00EE017D" w:rsidP="00EE017D">
      <w:pPr>
        <w:ind w:firstLineChars="200" w:firstLine="600"/>
        <w:rPr>
          <w:rFonts w:ascii="仿宋_GB2312" w:eastAsia="仿宋_GB2312" w:hAnsi="仿宋"/>
          <w:sz w:val="30"/>
          <w:szCs w:val="30"/>
        </w:rPr>
      </w:pPr>
      <w:r w:rsidRPr="00DA4364">
        <w:rPr>
          <w:rFonts w:ascii="宋体" w:eastAsia="仿宋_GB2312" w:hAnsi="宋体"/>
          <w:sz w:val="30"/>
          <w:szCs w:val="30"/>
        </w:rPr>
        <w:t>2016</w:t>
      </w:r>
      <w:r w:rsidR="00B33332">
        <w:rPr>
          <w:rFonts w:ascii="宋体" w:eastAsia="仿宋_GB2312" w:hAnsi="宋体"/>
          <w:sz w:val="30"/>
          <w:szCs w:val="30"/>
        </w:rPr>
        <w:t>年</w:t>
      </w:r>
      <w:r w:rsidRPr="00DA4364">
        <w:rPr>
          <w:rFonts w:ascii="宋体" w:eastAsia="仿宋_GB2312" w:hAnsi="宋体" w:hint="eastAsia"/>
          <w:sz w:val="30"/>
          <w:szCs w:val="30"/>
        </w:rPr>
        <w:t>，</w:t>
      </w:r>
      <w:r>
        <w:rPr>
          <w:rFonts w:ascii="仿宋_GB2312" w:eastAsia="仿宋_GB2312" w:hAnsi="仿宋" w:hint="eastAsia"/>
          <w:sz w:val="30"/>
          <w:szCs w:val="30"/>
        </w:rPr>
        <w:t>上海市住房和城乡建设管理委员会根</w:t>
      </w:r>
      <w:r w:rsidRPr="00DA4364">
        <w:rPr>
          <w:rFonts w:ascii="仿宋_GB2312" w:eastAsia="仿宋_GB2312" w:hAnsi="仿宋" w:hint="eastAsia"/>
          <w:sz w:val="30"/>
          <w:szCs w:val="30"/>
        </w:rPr>
        <w:t>据《上海市建筑节能条例》、《上海市人民政府印发关于加快推进本市国家机关办公建筑和大型公共建筑能耗监测系统建设实施意见的通知》（沪府发〔</w:t>
      </w:r>
      <w:r w:rsidRPr="00DA4364">
        <w:rPr>
          <w:rFonts w:ascii="仿宋_GB2312" w:eastAsia="仿宋_GB2312" w:hAnsi="仿宋"/>
          <w:sz w:val="30"/>
          <w:szCs w:val="30"/>
        </w:rPr>
        <w:t>2012</w:t>
      </w:r>
      <w:r w:rsidRPr="00DA4364">
        <w:rPr>
          <w:rFonts w:ascii="仿宋_GB2312" w:eastAsia="仿宋_GB2312" w:hAnsi="仿宋" w:hint="eastAsia"/>
          <w:sz w:val="30"/>
          <w:szCs w:val="30"/>
        </w:rPr>
        <w:t>〕</w:t>
      </w:r>
      <w:r w:rsidRPr="00DA4364">
        <w:rPr>
          <w:rFonts w:ascii="仿宋_GB2312" w:eastAsia="仿宋_GB2312" w:hAnsi="仿宋"/>
          <w:sz w:val="30"/>
          <w:szCs w:val="30"/>
        </w:rPr>
        <w:t>49</w:t>
      </w:r>
      <w:r w:rsidRPr="00DA4364">
        <w:rPr>
          <w:rFonts w:ascii="仿宋_GB2312" w:eastAsia="仿宋_GB2312" w:hAnsi="仿宋" w:hint="eastAsia"/>
          <w:sz w:val="30"/>
          <w:szCs w:val="30"/>
        </w:rPr>
        <w:t>号）</w:t>
      </w:r>
      <w:r>
        <w:rPr>
          <w:rFonts w:ascii="仿宋_GB2312" w:eastAsia="仿宋_GB2312" w:hAnsi="仿宋" w:hint="eastAsia"/>
          <w:sz w:val="30"/>
          <w:szCs w:val="30"/>
        </w:rPr>
        <w:t>和</w:t>
      </w:r>
      <w:r w:rsidRPr="00DA4364">
        <w:rPr>
          <w:rFonts w:ascii="仿宋_GB2312" w:eastAsia="仿宋_GB2312" w:hAnsi="仿宋" w:hint="eastAsia"/>
          <w:sz w:val="30"/>
          <w:szCs w:val="30"/>
        </w:rPr>
        <w:t>《</w:t>
      </w:r>
      <w:r w:rsidRPr="00DA4364">
        <w:rPr>
          <w:rFonts w:ascii="仿宋_GB2312" w:eastAsia="仿宋_GB2312" w:hAnsi="仿宋" w:cs="Arial" w:hint="eastAsia"/>
          <w:kern w:val="36"/>
          <w:sz w:val="30"/>
          <w:szCs w:val="30"/>
        </w:rPr>
        <w:t>上海市绿色建筑发展三年行动计划（</w:t>
      </w:r>
      <w:r w:rsidRPr="00DA4364">
        <w:rPr>
          <w:rFonts w:ascii="仿宋_GB2312" w:eastAsia="仿宋_GB2312" w:hAnsi="仿宋" w:cs="Arial"/>
          <w:kern w:val="36"/>
          <w:sz w:val="30"/>
          <w:szCs w:val="30"/>
        </w:rPr>
        <w:t>2014-2016</w:t>
      </w:r>
      <w:r w:rsidRPr="00DA4364">
        <w:rPr>
          <w:rFonts w:ascii="仿宋_GB2312" w:eastAsia="仿宋_GB2312" w:hAnsi="仿宋" w:cs="Arial" w:hint="eastAsia"/>
          <w:kern w:val="36"/>
          <w:sz w:val="30"/>
          <w:szCs w:val="30"/>
        </w:rPr>
        <w:t>）</w:t>
      </w:r>
      <w:r w:rsidRPr="00DA4364">
        <w:rPr>
          <w:rFonts w:ascii="仿宋_GB2312" w:eastAsia="仿宋_GB2312" w:hAnsi="仿宋" w:hint="eastAsia"/>
          <w:sz w:val="30"/>
          <w:szCs w:val="30"/>
        </w:rPr>
        <w:t>》等文件要求，</w:t>
      </w:r>
      <w:r w:rsidR="00FC2A88">
        <w:rPr>
          <w:rFonts w:ascii="宋体" w:eastAsia="仿宋_GB2312" w:hAnsi="宋体" w:hint="eastAsia"/>
          <w:sz w:val="30"/>
          <w:szCs w:val="30"/>
        </w:rPr>
        <w:t>在上海市发展和改革委员会和</w:t>
      </w:r>
      <w:r w:rsidR="00FC2A88" w:rsidRPr="00DA4364">
        <w:rPr>
          <w:rFonts w:ascii="宋体" w:eastAsia="仿宋_GB2312" w:hAnsi="宋体" w:hint="eastAsia"/>
          <w:sz w:val="30"/>
          <w:szCs w:val="30"/>
        </w:rPr>
        <w:t>其他委办</w:t>
      </w:r>
      <w:r w:rsidR="00FC2A88">
        <w:rPr>
          <w:rFonts w:ascii="宋体" w:eastAsia="仿宋_GB2312" w:hAnsi="宋体" w:hint="eastAsia"/>
          <w:sz w:val="30"/>
          <w:szCs w:val="30"/>
        </w:rPr>
        <w:t>局的</w:t>
      </w:r>
      <w:r w:rsidR="00FC2A88" w:rsidRPr="00DA4364">
        <w:rPr>
          <w:rFonts w:ascii="宋体" w:eastAsia="仿宋_GB2312" w:hAnsi="宋体" w:hint="eastAsia"/>
          <w:sz w:val="30"/>
          <w:szCs w:val="30"/>
        </w:rPr>
        <w:t>支持下，</w:t>
      </w:r>
      <w:r w:rsidRPr="00DA4364">
        <w:rPr>
          <w:rFonts w:ascii="仿宋_GB2312" w:eastAsia="仿宋_GB2312" w:hAnsi="仿宋" w:hint="eastAsia"/>
          <w:sz w:val="30"/>
          <w:szCs w:val="30"/>
        </w:rPr>
        <w:t>稳步推进本市国家机关办公建筑和大型公共建筑能耗监测平台（简称能耗监测平台）运行实践工作。通过</w:t>
      </w:r>
      <w:r>
        <w:rPr>
          <w:rFonts w:ascii="仿宋_GB2312" w:eastAsia="仿宋_GB2312" w:hAnsi="仿宋" w:hint="eastAsia"/>
          <w:sz w:val="30"/>
          <w:szCs w:val="30"/>
        </w:rPr>
        <w:t>市</w:t>
      </w:r>
      <w:r w:rsidR="00FC2A88">
        <w:rPr>
          <w:rFonts w:ascii="仿宋_GB2312" w:eastAsia="仿宋_GB2312" w:hAnsi="仿宋" w:hint="eastAsia"/>
          <w:sz w:val="30"/>
          <w:szCs w:val="30"/>
        </w:rPr>
        <w:t>、</w:t>
      </w:r>
      <w:r>
        <w:rPr>
          <w:rFonts w:ascii="仿宋_GB2312" w:eastAsia="仿宋_GB2312" w:hAnsi="仿宋" w:hint="eastAsia"/>
          <w:sz w:val="30"/>
          <w:szCs w:val="30"/>
        </w:rPr>
        <w:t>区</w:t>
      </w:r>
      <w:r>
        <w:rPr>
          <w:rFonts w:ascii="仿宋_GB2312" w:eastAsia="仿宋_GB2312" w:hAnsi="仿宋"/>
          <w:sz w:val="30"/>
          <w:szCs w:val="30"/>
        </w:rPr>
        <w:t>两级</w:t>
      </w:r>
      <w:r w:rsidRPr="00DA4364">
        <w:rPr>
          <w:rFonts w:ascii="仿宋_GB2312" w:eastAsia="仿宋_GB2312" w:hAnsi="仿宋" w:hint="eastAsia"/>
          <w:sz w:val="30"/>
          <w:szCs w:val="30"/>
        </w:rPr>
        <w:t>平台的深度融合及协同发展，持续扩大新建和既有公共建筑能耗在线监测范围，有序推进能耗监测平台的功能深化与服务延伸。</w:t>
      </w:r>
    </w:p>
    <w:p w:rsidR="007D25BC" w:rsidRPr="00C1609D" w:rsidRDefault="00EE017D" w:rsidP="00EE017D">
      <w:pPr>
        <w:ind w:firstLineChars="200" w:firstLine="600"/>
        <w:rPr>
          <w:rFonts w:ascii="仿宋_GB2312" w:eastAsia="仿宋_GB2312" w:hAnsi="仿宋"/>
          <w:sz w:val="30"/>
          <w:szCs w:val="30"/>
        </w:rPr>
      </w:pPr>
      <w:r w:rsidRPr="00DA4364">
        <w:rPr>
          <w:rFonts w:ascii="仿宋_GB2312" w:eastAsia="仿宋_GB2312" w:hAnsi="仿宋" w:hint="eastAsia"/>
          <w:sz w:val="30"/>
          <w:szCs w:val="30"/>
        </w:rPr>
        <w:t>本报告是基于能耗监测平台公共建筑能耗监测数据，通</w:t>
      </w:r>
      <w:r>
        <w:rPr>
          <w:rFonts w:ascii="仿宋_GB2312" w:eastAsia="仿宋_GB2312" w:hAnsi="仿宋" w:hint="eastAsia"/>
          <w:sz w:val="30"/>
          <w:szCs w:val="30"/>
        </w:rPr>
        <w:t>过数据统计与分析</w:t>
      </w:r>
      <w:r w:rsidRPr="00DA4364">
        <w:rPr>
          <w:rFonts w:ascii="仿宋_GB2312" w:eastAsia="仿宋_GB2312" w:hAnsi="仿宋" w:hint="eastAsia"/>
          <w:sz w:val="30"/>
          <w:szCs w:val="30"/>
        </w:rPr>
        <w:t>所得。报告</w:t>
      </w:r>
      <w:r>
        <w:rPr>
          <w:rFonts w:ascii="仿宋_GB2312" w:eastAsia="仿宋_GB2312" w:hAnsi="仿宋" w:hint="eastAsia"/>
          <w:sz w:val="30"/>
          <w:szCs w:val="30"/>
        </w:rPr>
        <w:t>分3篇6章16小节，</w:t>
      </w:r>
      <w:r w:rsidR="00FC2A88">
        <w:rPr>
          <w:rFonts w:ascii="仿宋_GB2312" w:eastAsia="仿宋_GB2312" w:hAnsi="仿宋" w:hint="eastAsia"/>
          <w:sz w:val="30"/>
          <w:szCs w:val="30"/>
        </w:rPr>
        <w:t>总结</w:t>
      </w:r>
      <w:r w:rsidR="004322F2">
        <w:rPr>
          <w:rFonts w:ascii="仿宋_GB2312" w:eastAsia="仿宋_GB2312" w:hAnsi="仿宋" w:hint="eastAsia"/>
          <w:sz w:val="30"/>
          <w:szCs w:val="30"/>
        </w:rPr>
        <w:t>了2016</w:t>
      </w:r>
      <w:r w:rsidR="00B33332">
        <w:rPr>
          <w:rFonts w:ascii="仿宋_GB2312" w:eastAsia="仿宋_GB2312" w:hAnsi="仿宋" w:hint="eastAsia"/>
          <w:sz w:val="30"/>
          <w:szCs w:val="30"/>
        </w:rPr>
        <w:t>年</w:t>
      </w:r>
      <w:r w:rsidR="004322F2">
        <w:rPr>
          <w:rFonts w:ascii="仿宋_GB2312" w:eastAsia="仿宋_GB2312" w:hAnsi="仿宋" w:hint="eastAsia"/>
          <w:sz w:val="30"/>
          <w:szCs w:val="30"/>
        </w:rPr>
        <w:t>本市国家机关办公建筑和大型公共建筑能耗监测工作进展及数据应用实践情况，</w:t>
      </w:r>
      <w:r>
        <w:rPr>
          <w:rFonts w:ascii="仿宋_GB2312" w:eastAsia="仿宋_GB2312" w:hAnsi="仿宋" w:hint="eastAsia"/>
          <w:sz w:val="30"/>
          <w:szCs w:val="30"/>
        </w:rPr>
        <w:t>从全市、区域和行业</w:t>
      </w:r>
      <w:r w:rsidR="00A85D0F">
        <w:rPr>
          <w:rFonts w:ascii="仿宋_GB2312" w:eastAsia="仿宋_GB2312" w:hAnsi="仿宋" w:hint="eastAsia"/>
          <w:sz w:val="30"/>
          <w:szCs w:val="30"/>
        </w:rPr>
        <w:t>三个角度</w:t>
      </w:r>
      <w:r>
        <w:rPr>
          <w:rFonts w:ascii="仿宋_GB2312" w:eastAsia="仿宋_GB2312" w:hAnsi="仿宋" w:hint="eastAsia"/>
          <w:sz w:val="30"/>
          <w:szCs w:val="30"/>
        </w:rPr>
        <w:t>反</w:t>
      </w:r>
      <w:r w:rsidRPr="00DA4364">
        <w:rPr>
          <w:rFonts w:ascii="仿宋_GB2312" w:eastAsia="仿宋_GB2312" w:hAnsi="仿宋" w:hint="eastAsia"/>
          <w:sz w:val="30"/>
          <w:szCs w:val="30"/>
        </w:rPr>
        <w:t>映</w:t>
      </w:r>
      <w:r w:rsidR="00A85D0F">
        <w:rPr>
          <w:rFonts w:ascii="仿宋_GB2312" w:eastAsia="仿宋_GB2312" w:hAnsi="仿宋" w:hint="eastAsia"/>
          <w:sz w:val="30"/>
          <w:szCs w:val="30"/>
        </w:rPr>
        <w:t>了</w:t>
      </w:r>
      <w:r w:rsidRPr="00DA4364">
        <w:rPr>
          <w:rFonts w:ascii="仿宋_GB2312" w:eastAsia="仿宋_GB2312" w:hAnsi="仿宋" w:hint="eastAsia"/>
          <w:sz w:val="30"/>
          <w:szCs w:val="30"/>
        </w:rPr>
        <w:t>本市公共建筑用能现状，</w:t>
      </w:r>
      <w:r w:rsidR="00A85D0F">
        <w:rPr>
          <w:rFonts w:ascii="仿宋_GB2312" w:eastAsia="仿宋_GB2312" w:hAnsi="仿宋" w:hint="eastAsia"/>
          <w:sz w:val="30"/>
          <w:szCs w:val="30"/>
        </w:rPr>
        <w:t>深入分析了公共建筑用能特征，介绍了</w:t>
      </w:r>
      <w:r w:rsidR="00A85D0F">
        <w:rPr>
          <w:rFonts w:eastAsia="仿宋_GB2312" w:cs="Calibri" w:hint="eastAsia"/>
          <w:sz w:val="30"/>
          <w:szCs w:val="30"/>
        </w:rPr>
        <w:t>相关实践案例，</w:t>
      </w:r>
      <w:r w:rsidRPr="00DA4364">
        <w:rPr>
          <w:rFonts w:ascii="仿宋_GB2312" w:eastAsia="仿宋_GB2312" w:hAnsi="仿宋" w:hint="eastAsia"/>
          <w:sz w:val="30"/>
          <w:szCs w:val="30"/>
        </w:rPr>
        <w:t>为广大楼宇业主、物业</w:t>
      </w:r>
      <w:r w:rsidR="00FC2A88">
        <w:rPr>
          <w:rFonts w:ascii="仿宋_GB2312" w:eastAsia="仿宋_GB2312" w:hAnsi="仿宋" w:hint="eastAsia"/>
          <w:sz w:val="30"/>
          <w:szCs w:val="30"/>
        </w:rPr>
        <w:t>服务</w:t>
      </w:r>
      <w:r w:rsidRPr="00DA4364">
        <w:rPr>
          <w:rFonts w:ascii="仿宋_GB2312" w:eastAsia="仿宋_GB2312" w:hAnsi="仿宋" w:hint="eastAsia"/>
          <w:sz w:val="30"/>
          <w:szCs w:val="30"/>
        </w:rPr>
        <w:t>单位、研发机构、节能服务公司及政府决策提供参考依据</w:t>
      </w:r>
      <w:r w:rsidR="00272C6D" w:rsidRPr="00DA4364">
        <w:rPr>
          <w:rFonts w:ascii="仿宋_GB2312" w:eastAsia="仿宋_GB2312" w:hAnsi="仿宋" w:hint="eastAsia"/>
          <w:sz w:val="30"/>
          <w:szCs w:val="30"/>
        </w:rPr>
        <w:t>。</w:t>
      </w:r>
    </w:p>
    <w:p w:rsidR="00A0168E" w:rsidRDefault="00A0168E" w:rsidP="00185E38">
      <w:pPr>
        <w:rPr>
          <w:rFonts w:ascii="黑体" w:eastAsia="黑体" w:hAnsi="黑体" w:cstheme="minorBidi"/>
          <w:b/>
          <w:sz w:val="30"/>
          <w:szCs w:val="30"/>
        </w:rPr>
        <w:sectPr w:rsidR="00A0168E" w:rsidSect="00F016E5">
          <w:footerReference w:type="default" r:id="rId15"/>
          <w:pgSz w:w="11906" w:h="16838"/>
          <w:pgMar w:top="1440" w:right="1814" w:bottom="1440" w:left="1814" w:header="851" w:footer="992" w:gutter="0"/>
          <w:pgNumType w:start="1"/>
          <w:cols w:space="425"/>
          <w:docGrid w:type="lines" w:linePitch="312"/>
        </w:sectPr>
      </w:pPr>
    </w:p>
    <w:p w:rsidR="00424FBA" w:rsidRDefault="00424FBA" w:rsidP="00424FBA">
      <w:pPr>
        <w:widowControl/>
        <w:jc w:val="left"/>
      </w:pPr>
    </w:p>
    <w:p w:rsidR="00424FBA" w:rsidRDefault="00424FBA" w:rsidP="00424FBA">
      <w:pPr>
        <w:widowControl/>
        <w:jc w:val="left"/>
        <w:rPr>
          <w:rFonts w:ascii="仿宋_GB2312" w:eastAsia="仿宋_GB2312" w:hAnsi="仿宋"/>
          <w:sz w:val="30"/>
          <w:szCs w:val="30"/>
        </w:rPr>
      </w:pPr>
    </w:p>
    <w:p w:rsidR="00424FBA" w:rsidRDefault="00424FBA" w:rsidP="00424FBA">
      <w:pPr>
        <w:widowControl/>
        <w:jc w:val="left"/>
        <w:rPr>
          <w:rFonts w:ascii="仿宋_GB2312" w:eastAsia="仿宋_GB2312" w:hAnsi="仿宋"/>
          <w:sz w:val="30"/>
          <w:szCs w:val="30"/>
        </w:rPr>
      </w:pPr>
    </w:p>
    <w:p w:rsidR="00424FBA" w:rsidRDefault="00424FBA" w:rsidP="00424FBA">
      <w:pPr>
        <w:widowControl/>
        <w:jc w:val="left"/>
        <w:rPr>
          <w:rFonts w:ascii="仿宋_GB2312" w:eastAsia="仿宋_GB2312" w:hAnsi="仿宋"/>
          <w:sz w:val="30"/>
          <w:szCs w:val="30"/>
        </w:rPr>
      </w:pPr>
    </w:p>
    <w:p w:rsidR="00424FBA" w:rsidRDefault="00424FBA" w:rsidP="00424FBA">
      <w:pPr>
        <w:widowControl/>
        <w:jc w:val="left"/>
        <w:rPr>
          <w:rFonts w:ascii="仿宋_GB2312" w:eastAsia="仿宋_GB2312" w:hAnsi="仿宋"/>
          <w:sz w:val="30"/>
          <w:szCs w:val="30"/>
        </w:rPr>
      </w:pPr>
    </w:p>
    <w:p w:rsidR="00424FBA" w:rsidRDefault="00424FBA" w:rsidP="00424FBA">
      <w:pPr>
        <w:widowControl/>
        <w:jc w:val="left"/>
        <w:rPr>
          <w:rFonts w:ascii="仿宋_GB2312" w:eastAsia="仿宋_GB2312" w:hAnsi="仿宋"/>
          <w:sz w:val="30"/>
          <w:szCs w:val="30"/>
        </w:rPr>
      </w:pPr>
    </w:p>
    <w:p w:rsidR="00424FBA" w:rsidRDefault="00424FBA" w:rsidP="00424FBA">
      <w:pPr>
        <w:widowControl/>
        <w:jc w:val="left"/>
        <w:rPr>
          <w:rFonts w:ascii="仿宋_GB2312" w:eastAsia="仿宋_GB2312" w:hAnsi="仿宋"/>
          <w:sz w:val="30"/>
          <w:szCs w:val="30"/>
        </w:rPr>
      </w:pPr>
    </w:p>
    <w:p w:rsidR="00424FBA" w:rsidRDefault="00424FBA" w:rsidP="00424FBA">
      <w:pPr>
        <w:widowControl/>
        <w:jc w:val="left"/>
        <w:rPr>
          <w:rFonts w:ascii="仿宋_GB2312" w:eastAsia="仿宋_GB2312" w:hAnsi="仿宋"/>
          <w:sz w:val="30"/>
          <w:szCs w:val="30"/>
        </w:rPr>
      </w:pPr>
    </w:p>
    <w:p w:rsidR="00424FBA" w:rsidRPr="00424FBA" w:rsidRDefault="00424FBA" w:rsidP="00424FBA">
      <w:pPr>
        <w:widowControl/>
        <w:jc w:val="left"/>
        <w:rPr>
          <w:rFonts w:ascii="仿宋_GB2312" w:eastAsia="仿宋_GB2312" w:hAnsi="仿宋"/>
          <w:sz w:val="30"/>
          <w:szCs w:val="30"/>
        </w:rPr>
      </w:pPr>
    </w:p>
    <w:p w:rsidR="00424FBA" w:rsidRPr="009E14E2" w:rsidRDefault="00EE51E8" w:rsidP="00DB66EC">
      <w:pPr>
        <w:pStyle w:val="1"/>
        <w:spacing w:before="0" w:afterLines="50" w:line="360" w:lineRule="auto"/>
        <w:jc w:val="center"/>
        <w:rPr>
          <w:rFonts w:ascii="黑体" w:eastAsia="黑体" w:hAnsi="黑体" w:cstheme="minorBidi"/>
          <w:bCs w:val="0"/>
          <w:kern w:val="2"/>
        </w:rPr>
      </w:pPr>
      <w:bookmarkStart w:id="2" w:name="_Toc479752994"/>
      <w:r>
        <w:rPr>
          <w:rFonts w:ascii="黑体" w:eastAsia="黑体" w:hAnsi="黑体" w:cstheme="minorBidi" w:hint="eastAsia"/>
          <w:bCs w:val="0"/>
          <w:kern w:val="2"/>
        </w:rPr>
        <w:t>一、</w:t>
      </w:r>
      <w:r w:rsidR="00185E38" w:rsidRPr="009E14E2">
        <w:rPr>
          <w:rFonts w:ascii="黑体" w:eastAsia="黑体" w:hAnsi="黑体" w:cstheme="minorBidi" w:hint="eastAsia"/>
          <w:bCs w:val="0"/>
          <w:kern w:val="2"/>
        </w:rPr>
        <w:t>全市篇</w:t>
      </w:r>
      <w:bookmarkEnd w:id="2"/>
    </w:p>
    <w:p w:rsidR="00424FBA" w:rsidRPr="00424FBA" w:rsidRDefault="00424FBA" w:rsidP="00424FBA">
      <w:pPr>
        <w:sectPr w:rsidR="00424FBA" w:rsidRPr="00424FBA" w:rsidSect="00F016E5">
          <w:footerReference w:type="default" r:id="rId16"/>
          <w:pgSz w:w="11906" w:h="16838"/>
          <w:pgMar w:top="1440" w:right="1814" w:bottom="1440" w:left="1814" w:header="851" w:footer="992" w:gutter="0"/>
          <w:pgNumType w:start="3"/>
          <w:cols w:space="425"/>
          <w:docGrid w:type="lines" w:linePitch="312"/>
        </w:sectPr>
      </w:pPr>
    </w:p>
    <w:p w:rsidR="00424FBA" w:rsidRPr="00424FBA" w:rsidRDefault="00DA4364" w:rsidP="00424FBA">
      <w:pPr>
        <w:pStyle w:val="2"/>
        <w:rPr>
          <w:rFonts w:ascii="黑体" w:eastAsia="黑体" w:hAnsi="黑体" w:cstheme="minorBidi"/>
          <w:bCs w:val="0"/>
          <w:szCs w:val="30"/>
        </w:rPr>
      </w:pPr>
      <w:bookmarkStart w:id="3" w:name="_Toc479752995"/>
      <w:r>
        <w:rPr>
          <w:rFonts w:ascii="黑体" w:eastAsia="黑体" w:hAnsi="黑体" w:cstheme="minorBidi" w:hint="eastAsia"/>
          <w:bCs w:val="0"/>
          <w:szCs w:val="30"/>
        </w:rPr>
        <w:lastRenderedPageBreak/>
        <w:t>（一）</w:t>
      </w:r>
      <w:r w:rsidR="00EE51E8">
        <w:rPr>
          <w:rFonts w:ascii="黑体" w:eastAsia="黑体" w:hAnsi="黑体" w:cstheme="minorBidi" w:hint="eastAsia"/>
          <w:bCs w:val="0"/>
          <w:szCs w:val="30"/>
        </w:rPr>
        <w:t>总体</w:t>
      </w:r>
      <w:r w:rsidR="00424FBA" w:rsidRPr="00424FBA">
        <w:rPr>
          <w:rFonts w:ascii="黑体" w:eastAsia="黑体" w:hAnsi="黑体" w:cstheme="minorBidi" w:hint="eastAsia"/>
          <w:bCs w:val="0"/>
          <w:szCs w:val="30"/>
        </w:rPr>
        <w:t>分析</w:t>
      </w:r>
      <w:bookmarkEnd w:id="3"/>
    </w:p>
    <w:p w:rsidR="007D0786" w:rsidRPr="00424FBA" w:rsidRDefault="007D0786" w:rsidP="00A24B8D">
      <w:pPr>
        <w:pStyle w:val="3"/>
        <w:spacing w:before="0" w:after="0" w:line="415" w:lineRule="auto"/>
        <w:rPr>
          <w:rFonts w:ascii="黑体" w:eastAsia="黑体" w:hAnsi="黑体" w:cstheme="minorBidi"/>
          <w:bCs w:val="0"/>
          <w:sz w:val="30"/>
          <w:szCs w:val="30"/>
        </w:rPr>
      </w:pPr>
      <w:bookmarkStart w:id="4" w:name="_Toc479752996"/>
      <w:r w:rsidRPr="00424FBA">
        <w:rPr>
          <w:rFonts w:ascii="黑体" w:eastAsia="黑体" w:hAnsi="黑体" w:cstheme="minorBidi" w:hint="eastAsia"/>
          <w:bCs w:val="0"/>
          <w:sz w:val="30"/>
          <w:szCs w:val="30"/>
        </w:rPr>
        <w:t>1、综述</w:t>
      </w:r>
      <w:bookmarkEnd w:id="4"/>
    </w:p>
    <w:p w:rsidR="007D365E" w:rsidRDefault="00A67976" w:rsidP="00DB66EC">
      <w:pPr>
        <w:spacing w:afterLines="50" w:line="360" w:lineRule="auto"/>
        <w:ind w:firstLineChars="200" w:firstLine="600"/>
        <w:rPr>
          <w:rFonts w:ascii="Times New Roman" w:eastAsia="仿宋_GB2312" w:hAnsi="Times New Roman"/>
          <w:color w:val="000000" w:themeColor="text1"/>
          <w:sz w:val="24"/>
          <w:szCs w:val="24"/>
        </w:rPr>
      </w:pPr>
      <w:r w:rsidRPr="00272C6D">
        <w:rPr>
          <w:rFonts w:ascii="仿宋_GB2312" w:eastAsia="仿宋_GB2312" w:hAnsi="仿宋" w:cstheme="minorBidi" w:hint="eastAsia"/>
          <w:sz w:val="30"/>
          <w:szCs w:val="30"/>
        </w:rPr>
        <w:t>截止</w:t>
      </w:r>
      <w:r w:rsidR="007D0786" w:rsidRPr="00272C6D">
        <w:rPr>
          <w:rFonts w:ascii="仿宋_GB2312" w:eastAsia="仿宋_GB2312" w:hAnsi="仿宋" w:cstheme="minorBidi" w:hint="eastAsia"/>
          <w:sz w:val="30"/>
          <w:szCs w:val="30"/>
        </w:rPr>
        <w:t>2016</w:t>
      </w:r>
      <w:r w:rsidRPr="00272C6D">
        <w:rPr>
          <w:rFonts w:ascii="仿宋_GB2312" w:eastAsia="仿宋_GB2312" w:hAnsi="仿宋" w:cstheme="minorBidi" w:hint="eastAsia"/>
          <w:sz w:val="30"/>
          <w:szCs w:val="30"/>
        </w:rPr>
        <w:t>年</w:t>
      </w:r>
      <w:r w:rsidR="00B8267C" w:rsidRPr="00272C6D">
        <w:rPr>
          <w:rFonts w:ascii="仿宋_GB2312" w:eastAsia="仿宋_GB2312" w:hAnsi="仿宋" w:cstheme="minorBidi" w:hint="eastAsia"/>
          <w:sz w:val="30"/>
          <w:szCs w:val="30"/>
        </w:rPr>
        <w:t>1</w:t>
      </w:r>
      <w:r w:rsidR="00B8267C" w:rsidRPr="00272C6D">
        <w:rPr>
          <w:rFonts w:ascii="仿宋_GB2312" w:eastAsia="仿宋_GB2312" w:hAnsi="仿宋" w:cstheme="minorBidi"/>
          <w:sz w:val="30"/>
          <w:szCs w:val="30"/>
        </w:rPr>
        <w:t>2月</w:t>
      </w:r>
      <w:r w:rsidR="00B8267C" w:rsidRPr="00272C6D">
        <w:rPr>
          <w:rFonts w:ascii="仿宋_GB2312" w:eastAsia="仿宋_GB2312" w:hAnsi="仿宋" w:cstheme="minorBidi" w:hint="eastAsia"/>
          <w:sz w:val="30"/>
          <w:szCs w:val="30"/>
        </w:rPr>
        <w:t>31日</w:t>
      </w:r>
      <w:r w:rsidRPr="00272C6D">
        <w:rPr>
          <w:rFonts w:ascii="仿宋_GB2312" w:eastAsia="仿宋_GB2312" w:hAnsi="仿宋" w:cstheme="minorBidi" w:hint="eastAsia"/>
          <w:sz w:val="30"/>
          <w:szCs w:val="30"/>
        </w:rPr>
        <w:t>，</w:t>
      </w:r>
      <w:r w:rsidR="00CF3D49">
        <w:rPr>
          <w:rFonts w:ascii="仿宋_GB2312" w:eastAsia="仿宋_GB2312" w:hAnsi="仿宋" w:cstheme="minorBidi" w:hint="eastAsia"/>
          <w:sz w:val="30"/>
          <w:szCs w:val="30"/>
        </w:rPr>
        <w:t>全市</w:t>
      </w:r>
      <w:r w:rsidR="002F43F2" w:rsidRPr="00272C6D">
        <w:rPr>
          <w:rFonts w:ascii="仿宋_GB2312" w:eastAsia="仿宋_GB2312" w:hAnsi="仿宋" w:cstheme="minorBidi" w:hint="eastAsia"/>
          <w:sz w:val="30"/>
          <w:szCs w:val="30"/>
        </w:rPr>
        <w:t>累计共有1</w:t>
      </w:r>
      <w:r w:rsidR="007D0786" w:rsidRPr="00272C6D">
        <w:rPr>
          <w:rFonts w:ascii="仿宋_GB2312" w:eastAsia="仿宋_GB2312" w:hAnsi="仿宋" w:cstheme="minorBidi"/>
          <w:sz w:val="30"/>
          <w:szCs w:val="30"/>
        </w:rPr>
        <w:t>501</w:t>
      </w:r>
      <w:r w:rsidR="002F43F2" w:rsidRPr="00272C6D">
        <w:rPr>
          <w:rFonts w:ascii="仿宋_GB2312" w:eastAsia="仿宋_GB2312" w:hAnsi="仿宋" w:cstheme="minorBidi" w:hint="eastAsia"/>
          <w:sz w:val="30"/>
          <w:szCs w:val="30"/>
        </w:rPr>
        <w:t>栋公共建筑完成</w:t>
      </w:r>
      <w:r w:rsidR="00FC2A88">
        <w:rPr>
          <w:rFonts w:ascii="仿宋_GB2312" w:eastAsia="仿宋_GB2312" w:hAnsi="仿宋" w:cstheme="minorBidi" w:hint="eastAsia"/>
          <w:sz w:val="30"/>
          <w:szCs w:val="30"/>
        </w:rPr>
        <w:t>用能分项计量</w:t>
      </w:r>
      <w:r w:rsidR="002F43F2" w:rsidRPr="00272C6D">
        <w:rPr>
          <w:rFonts w:ascii="仿宋_GB2312" w:eastAsia="仿宋_GB2312" w:hAnsi="仿宋" w:cstheme="minorBidi" w:hint="eastAsia"/>
          <w:sz w:val="30"/>
          <w:szCs w:val="30"/>
        </w:rPr>
        <w:t>装置的安装并实现与</w:t>
      </w:r>
      <w:r w:rsidR="00696491">
        <w:rPr>
          <w:rFonts w:ascii="仿宋_GB2312" w:eastAsia="仿宋_GB2312" w:hAnsi="仿宋" w:cstheme="minorBidi" w:hint="eastAsia"/>
          <w:sz w:val="30"/>
          <w:szCs w:val="30"/>
        </w:rPr>
        <w:t>能耗监测平台</w:t>
      </w:r>
      <w:r w:rsidR="002F43F2" w:rsidRPr="00272C6D">
        <w:rPr>
          <w:rFonts w:ascii="仿宋_GB2312" w:eastAsia="仿宋_GB2312" w:hAnsi="仿宋" w:cstheme="minorBidi" w:hint="eastAsia"/>
          <w:sz w:val="30"/>
          <w:szCs w:val="30"/>
        </w:rPr>
        <w:t>的数据联网，覆盖建筑面积</w:t>
      </w:r>
      <w:r w:rsidR="007D0786" w:rsidRPr="00272C6D">
        <w:rPr>
          <w:rFonts w:ascii="仿宋_GB2312" w:eastAsia="仿宋_GB2312" w:hAnsi="仿宋" w:cstheme="minorBidi" w:hint="eastAsia"/>
          <w:sz w:val="30"/>
          <w:szCs w:val="30"/>
        </w:rPr>
        <w:t>6572.2</w:t>
      </w:r>
      <w:r w:rsidR="002F43F2" w:rsidRPr="00272C6D">
        <w:rPr>
          <w:rFonts w:ascii="仿宋_GB2312" w:eastAsia="仿宋_GB2312" w:hAnsi="仿宋" w:cstheme="minorBidi" w:hint="eastAsia"/>
          <w:sz w:val="30"/>
          <w:szCs w:val="30"/>
        </w:rPr>
        <w:t>万m</w:t>
      </w:r>
      <w:r w:rsidR="002F43F2" w:rsidRPr="00EE407C">
        <w:rPr>
          <w:rFonts w:ascii="仿宋_GB2312" w:eastAsia="仿宋_GB2312" w:hAnsi="仿宋" w:cstheme="minorBidi"/>
          <w:sz w:val="30"/>
          <w:szCs w:val="30"/>
          <w:vertAlign w:val="superscript"/>
        </w:rPr>
        <w:t>2</w:t>
      </w:r>
      <w:r w:rsidR="002F43F2" w:rsidRPr="00272C6D">
        <w:rPr>
          <w:rFonts w:ascii="仿宋_GB2312" w:eastAsia="仿宋_GB2312" w:hAnsi="仿宋" w:cstheme="minorBidi" w:hint="eastAsia"/>
          <w:sz w:val="30"/>
          <w:szCs w:val="30"/>
        </w:rPr>
        <w:t>，其中国家机关办公建筑1</w:t>
      </w:r>
      <w:r w:rsidR="00B16939" w:rsidRPr="00272C6D">
        <w:rPr>
          <w:rFonts w:ascii="仿宋_GB2312" w:eastAsia="仿宋_GB2312" w:hAnsi="仿宋" w:cstheme="minorBidi"/>
          <w:sz w:val="30"/>
          <w:szCs w:val="30"/>
        </w:rPr>
        <w:t>82</w:t>
      </w:r>
      <w:r w:rsidR="002F43F2" w:rsidRPr="00272C6D">
        <w:rPr>
          <w:rFonts w:ascii="仿宋_GB2312" w:eastAsia="仿宋_GB2312" w:hAnsi="仿宋" w:cstheme="minorBidi" w:hint="eastAsia"/>
          <w:sz w:val="30"/>
          <w:szCs w:val="30"/>
        </w:rPr>
        <w:t>栋，占监测总量的</w:t>
      </w:r>
      <w:r w:rsidR="005A5314" w:rsidRPr="00272C6D">
        <w:rPr>
          <w:rFonts w:ascii="仿宋_GB2312" w:eastAsia="仿宋_GB2312" w:hAnsi="仿宋" w:cstheme="minorBidi" w:hint="eastAsia"/>
          <w:sz w:val="30"/>
          <w:szCs w:val="30"/>
        </w:rPr>
        <w:t>12</w:t>
      </w:r>
      <w:r w:rsidR="00FC2A88">
        <w:rPr>
          <w:rFonts w:ascii="仿宋_GB2312" w:eastAsia="仿宋_GB2312" w:hAnsi="仿宋" w:cstheme="minorBidi" w:hint="eastAsia"/>
          <w:sz w:val="30"/>
          <w:szCs w:val="30"/>
        </w:rPr>
        <w:t>.1</w:t>
      </w:r>
      <w:r w:rsidR="002F43F2" w:rsidRPr="00272C6D">
        <w:rPr>
          <w:rFonts w:ascii="仿宋_GB2312" w:eastAsia="仿宋_GB2312" w:hAnsi="仿宋" w:cstheme="minorBidi" w:hint="eastAsia"/>
          <w:sz w:val="30"/>
          <w:szCs w:val="30"/>
        </w:rPr>
        <w:t>%，覆盖建筑面积约</w:t>
      </w:r>
      <w:r w:rsidR="005A5314" w:rsidRPr="00272C6D">
        <w:rPr>
          <w:rFonts w:ascii="仿宋_GB2312" w:eastAsia="仿宋_GB2312" w:hAnsi="仿宋" w:cstheme="minorBidi" w:hint="eastAsia"/>
          <w:sz w:val="30"/>
          <w:szCs w:val="30"/>
        </w:rPr>
        <w:t>368</w:t>
      </w:r>
      <w:r w:rsidR="002F43F2" w:rsidRPr="00272C6D">
        <w:rPr>
          <w:rFonts w:ascii="仿宋_GB2312" w:eastAsia="仿宋_GB2312" w:hAnsi="仿宋" w:cstheme="minorBidi" w:hint="eastAsia"/>
          <w:sz w:val="30"/>
          <w:szCs w:val="30"/>
        </w:rPr>
        <w:t>.</w:t>
      </w:r>
      <w:r w:rsidR="005A5314" w:rsidRPr="00272C6D">
        <w:rPr>
          <w:rFonts w:ascii="仿宋_GB2312" w:eastAsia="仿宋_GB2312" w:hAnsi="仿宋" w:cstheme="minorBidi"/>
          <w:sz w:val="30"/>
          <w:szCs w:val="30"/>
        </w:rPr>
        <w:t>5</w:t>
      </w:r>
      <w:r w:rsidR="002F43F2" w:rsidRPr="00272C6D">
        <w:rPr>
          <w:rFonts w:ascii="仿宋_GB2312" w:eastAsia="仿宋_GB2312" w:hAnsi="仿宋" w:cstheme="minorBidi" w:hint="eastAsia"/>
          <w:sz w:val="30"/>
          <w:szCs w:val="30"/>
        </w:rPr>
        <w:t>万m</w:t>
      </w:r>
      <w:r w:rsidR="002F43F2" w:rsidRPr="00EE407C">
        <w:rPr>
          <w:rFonts w:ascii="仿宋_GB2312" w:eastAsia="仿宋_GB2312" w:hAnsi="仿宋" w:cstheme="minorBidi"/>
          <w:sz w:val="30"/>
          <w:szCs w:val="30"/>
          <w:vertAlign w:val="superscript"/>
        </w:rPr>
        <w:t>2</w:t>
      </w:r>
      <w:r w:rsidR="00CF3D49">
        <w:rPr>
          <w:rFonts w:ascii="仿宋_GB2312" w:eastAsia="仿宋_GB2312" w:hAnsi="仿宋" w:cstheme="minorBidi" w:hint="eastAsia"/>
          <w:sz w:val="30"/>
          <w:szCs w:val="30"/>
        </w:rPr>
        <w:t>；</w:t>
      </w:r>
      <w:r w:rsidR="002F43F2" w:rsidRPr="00272C6D">
        <w:rPr>
          <w:rFonts w:ascii="仿宋_GB2312" w:eastAsia="仿宋_GB2312" w:hAnsi="仿宋" w:cstheme="minorBidi" w:hint="eastAsia"/>
          <w:sz w:val="30"/>
          <w:szCs w:val="30"/>
        </w:rPr>
        <w:t>大型公共建筑</w:t>
      </w:r>
      <w:r w:rsidR="005A5314" w:rsidRPr="00272C6D">
        <w:rPr>
          <w:rFonts w:ascii="仿宋_GB2312" w:eastAsia="仿宋_GB2312" w:hAnsi="仿宋" w:cstheme="minorBidi"/>
          <w:sz w:val="30"/>
          <w:szCs w:val="30"/>
        </w:rPr>
        <w:t>1319</w:t>
      </w:r>
      <w:r w:rsidR="002F43F2" w:rsidRPr="00272C6D">
        <w:rPr>
          <w:rFonts w:ascii="仿宋_GB2312" w:eastAsia="仿宋_GB2312" w:hAnsi="仿宋" w:cstheme="minorBidi" w:hint="eastAsia"/>
          <w:sz w:val="30"/>
          <w:szCs w:val="30"/>
        </w:rPr>
        <w:t>栋，占监测总量的8</w:t>
      </w:r>
      <w:r w:rsidR="00FC2A88">
        <w:rPr>
          <w:rFonts w:ascii="仿宋_GB2312" w:eastAsia="仿宋_GB2312" w:hAnsi="仿宋" w:cstheme="minorBidi" w:hint="eastAsia"/>
          <w:sz w:val="30"/>
          <w:szCs w:val="30"/>
        </w:rPr>
        <w:t>7.9</w:t>
      </w:r>
      <w:r w:rsidR="002F43F2" w:rsidRPr="00272C6D">
        <w:rPr>
          <w:rFonts w:ascii="仿宋_GB2312" w:eastAsia="仿宋_GB2312" w:hAnsi="仿宋" w:cstheme="minorBidi" w:hint="eastAsia"/>
          <w:sz w:val="30"/>
          <w:szCs w:val="30"/>
        </w:rPr>
        <w:t>%，覆盖建筑面积约</w:t>
      </w:r>
      <w:r w:rsidR="005A5314" w:rsidRPr="00272C6D">
        <w:rPr>
          <w:rFonts w:ascii="仿宋_GB2312" w:eastAsia="仿宋_GB2312" w:hAnsi="仿宋" w:cstheme="minorBidi"/>
          <w:sz w:val="30"/>
          <w:szCs w:val="30"/>
        </w:rPr>
        <w:t>6203</w:t>
      </w:r>
      <w:r w:rsidR="002F43F2" w:rsidRPr="00272C6D">
        <w:rPr>
          <w:rFonts w:ascii="仿宋_GB2312" w:eastAsia="仿宋_GB2312" w:hAnsi="仿宋" w:cstheme="minorBidi" w:hint="eastAsia"/>
          <w:sz w:val="30"/>
          <w:szCs w:val="30"/>
        </w:rPr>
        <w:t>.</w:t>
      </w:r>
      <w:r w:rsidR="005A5314" w:rsidRPr="00272C6D">
        <w:rPr>
          <w:rFonts w:ascii="仿宋_GB2312" w:eastAsia="仿宋_GB2312" w:hAnsi="仿宋" w:cstheme="minorBidi"/>
          <w:sz w:val="30"/>
          <w:szCs w:val="30"/>
        </w:rPr>
        <w:t>7</w:t>
      </w:r>
      <w:r w:rsidR="002F43F2" w:rsidRPr="00272C6D">
        <w:rPr>
          <w:rFonts w:ascii="仿宋_GB2312" w:eastAsia="仿宋_GB2312" w:hAnsi="仿宋" w:cstheme="minorBidi" w:hint="eastAsia"/>
          <w:sz w:val="30"/>
          <w:szCs w:val="30"/>
        </w:rPr>
        <w:t>万m</w:t>
      </w:r>
      <w:r w:rsidR="002F43F2" w:rsidRPr="00EE407C">
        <w:rPr>
          <w:rFonts w:ascii="仿宋_GB2312" w:eastAsia="仿宋_GB2312" w:hAnsi="仿宋" w:cstheme="minorBidi"/>
          <w:sz w:val="30"/>
          <w:szCs w:val="30"/>
          <w:vertAlign w:val="superscript"/>
        </w:rPr>
        <w:t>2</w:t>
      </w:r>
      <w:r w:rsidR="002F43F2" w:rsidRPr="00272C6D">
        <w:rPr>
          <w:rFonts w:ascii="仿宋_GB2312" w:eastAsia="仿宋_GB2312" w:hAnsi="仿宋" w:cstheme="minorBidi" w:hint="eastAsia"/>
          <w:sz w:val="30"/>
          <w:szCs w:val="30"/>
        </w:rPr>
        <w:t>。</w:t>
      </w:r>
      <w:r w:rsidR="006A4DCC" w:rsidRPr="00272C6D">
        <w:rPr>
          <w:rFonts w:ascii="仿宋_GB2312" w:eastAsia="仿宋_GB2312" w:hAnsi="仿宋" w:cstheme="minorBidi" w:hint="eastAsia"/>
          <w:sz w:val="30"/>
          <w:szCs w:val="30"/>
        </w:rPr>
        <w:t>按建筑功能分类统计情况如表1所示。</w:t>
      </w:r>
    </w:p>
    <w:p w:rsidR="006A4DCC" w:rsidRPr="00F01EB1" w:rsidRDefault="00EE407C" w:rsidP="00105CCB">
      <w:pPr>
        <w:jc w:val="center"/>
        <w:rPr>
          <w:rFonts w:ascii="Times New Roman" w:eastAsia="仿宋_GB2312" w:hAnsi="Times New Roman" w:cstheme="majorBidi"/>
          <w:color w:val="000000" w:themeColor="text1"/>
          <w:sz w:val="24"/>
          <w:szCs w:val="24"/>
        </w:rPr>
      </w:pPr>
      <w:r w:rsidRPr="00F01EB1">
        <w:rPr>
          <w:rFonts w:ascii="Times New Roman" w:eastAsia="仿宋_GB2312" w:hAnsi="Times New Roman" w:cstheme="majorBidi" w:hint="eastAsia"/>
          <w:color w:val="000000" w:themeColor="text1"/>
          <w:sz w:val="24"/>
          <w:szCs w:val="24"/>
        </w:rPr>
        <w:t>表</w:t>
      </w:r>
      <w:r w:rsidRPr="00F01EB1">
        <w:rPr>
          <w:rFonts w:ascii="Times New Roman" w:eastAsia="仿宋_GB2312" w:hAnsi="Times New Roman" w:cstheme="majorBidi" w:hint="eastAsia"/>
          <w:color w:val="000000" w:themeColor="text1"/>
          <w:sz w:val="24"/>
          <w:szCs w:val="24"/>
        </w:rPr>
        <w:t xml:space="preserve">1  </w:t>
      </w:r>
      <w:r w:rsidR="008C2B10" w:rsidRPr="00F01EB1">
        <w:rPr>
          <w:rFonts w:ascii="Times New Roman" w:eastAsia="仿宋_GB2312" w:hAnsi="Times New Roman" w:cstheme="majorBidi"/>
          <w:color w:val="000000" w:themeColor="text1"/>
          <w:sz w:val="24"/>
          <w:szCs w:val="24"/>
        </w:rPr>
        <w:t>2016</w:t>
      </w:r>
      <w:r w:rsidR="006A4DCC" w:rsidRPr="00F01EB1">
        <w:rPr>
          <w:rFonts w:ascii="Times New Roman" w:eastAsia="仿宋_GB2312" w:hAnsi="Times New Roman" w:cstheme="majorBidi"/>
          <w:color w:val="000000" w:themeColor="text1"/>
          <w:sz w:val="24"/>
          <w:szCs w:val="24"/>
        </w:rPr>
        <w:t>年</w:t>
      </w:r>
      <w:r w:rsidR="005D10E6">
        <w:rPr>
          <w:rFonts w:ascii="Times New Roman" w:eastAsia="仿宋_GB2312" w:hAnsi="Times New Roman" w:cstheme="majorBidi" w:hint="eastAsia"/>
          <w:color w:val="000000" w:themeColor="text1"/>
          <w:sz w:val="24"/>
          <w:szCs w:val="24"/>
        </w:rPr>
        <w:t>接入</w:t>
      </w:r>
      <w:r w:rsidR="00696491">
        <w:rPr>
          <w:rFonts w:ascii="Times New Roman" w:eastAsia="仿宋_GB2312" w:hAnsi="Times New Roman" w:cstheme="majorBidi" w:hint="eastAsia"/>
          <w:color w:val="000000" w:themeColor="text1"/>
          <w:sz w:val="24"/>
          <w:szCs w:val="24"/>
        </w:rPr>
        <w:t>能耗监测平台</w:t>
      </w:r>
      <w:r w:rsidR="005D10E6">
        <w:rPr>
          <w:rFonts w:ascii="Times New Roman" w:eastAsia="仿宋_GB2312" w:hAnsi="Times New Roman" w:cstheme="majorBidi" w:hint="eastAsia"/>
          <w:color w:val="000000" w:themeColor="text1"/>
          <w:sz w:val="24"/>
          <w:szCs w:val="24"/>
        </w:rPr>
        <w:t>公共</w:t>
      </w:r>
      <w:r w:rsidR="006A4DCC" w:rsidRPr="00F01EB1">
        <w:rPr>
          <w:rFonts w:ascii="Times New Roman" w:eastAsia="仿宋_GB2312" w:hAnsi="Times New Roman" w:cstheme="majorBidi" w:hint="eastAsia"/>
          <w:color w:val="000000" w:themeColor="text1"/>
          <w:sz w:val="24"/>
          <w:szCs w:val="24"/>
        </w:rPr>
        <w:t>建筑功能分类表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391"/>
        <w:gridCol w:w="2320"/>
        <w:gridCol w:w="1426"/>
        <w:gridCol w:w="1965"/>
        <w:gridCol w:w="1426"/>
      </w:tblGrid>
      <w:tr w:rsidR="007D365E" w:rsidRPr="00F01EB1" w:rsidTr="00B30D92">
        <w:trPr>
          <w:trHeight w:val="429"/>
        </w:trPr>
        <w:tc>
          <w:tcPr>
            <w:tcW w:w="816" w:type="pct"/>
            <w:shd w:val="clear" w:color="auto" w:fill="auto"/>
            <w:noWrap/>
            <w:vAlign w:val="center"/>
            <w:hideMark/>
          </w:tcPr>
          <w:p w:rsidR="007D365E" w:rsidRPr="00F01EB1" w:rsidRDefault="007D365E" w:rsidP="00655AE8">
            <w:pPr>
              <w:widowControl/>
              <w:spacing w:line="300" w:lineRule="auto"/>
              <w:jc w:val="center"/>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序号</w:t>
            </w:r>
          </w:p>
        </w:tc>
        <w:tc>
          <w:tcPr>
            <w:tcW w:w="1360" w:type="pct"/>
            <w:shd w:val="clear" w:color="auto" w:fill="auto"/>
            <w:noWrap/>
            <w:vAlign w:val="center"/>
            <w:hideMark/>
          </w:tcPr>
          <w:p w:rsidR="007D365E" w:rsidRPr="00F01EB1" w:rsidRDefault="007D365E" w:rsidP="00655AE8">
            <w:pPr>
              <w:widowControl/>
              <w:spacing w:line="300" w:lineRule="auto"/>
              <w:jc w:val="center"/>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建筑类型</w:t>
            </w:r>
          </w:p>
        </w:tc>
        <w:tc>
          <w:tcPr>
            <w:tcW w:w="836" w:type="pct"/>
            <w:shd w:val="clear" w:color="auto" w:fill="auto"/>
            <w:noWrap/>
            <w:vAlign w:val="center"/>
            <w:hideMark/>
          </w:tcPr>
          <w:p w:rsidR="007D365E" w:rsidRPr="00F01EB1" w:rsidRDefault="007D365E" w:rsidP="00655AE8">
            <w:pPr>
              <w:widowControl/>
              <w:spacing w:line="300" w:lineRule="auto"/>
              <w:jc w:val="center"/>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数量</w:t>
            </w:r>
            <w:r w:rsidRPr="00F01EB1">
              <w:rPr>
                <w:rFonts w:ascii="Times New Roman" w:eastAsia="仿宋_GB2312" w:hAnsi="Times New Roman"/>
                <w:color w:val="000000"/>
                <w:kern w:val="0"/>
                <w:sz w:val="24"/>
                <w:szCs w:val="24"/>
              </w:rPr>
              <w:t>(</w:t>
            </w:r>
            <w:r w:rsidRPr="00F01EB1">
              <w:rPr>
                <w:rFonts w:ascii="仿宋_GB2312" w:eastAsia="仿宋_GB2312" w:hAnsi="宋体" w:cs="宋体" w:hint="eastAsia"/>
                <w:color w:val="000000"/>
                <w:kern w:val="0"/>
                <w:sz w:val="24"/>
                <w:szCs w:val="24"/>
              </w:rPr>
              <w:t>栋</w:t>
            </w:r>
            <w:r w:rsidRPr="00F01EB1">
              <w:rPr>
                <w:rFonts w:ascii="Times New Roman" w:eastAsia="仿宋_GB2312" w:hAnsi="Times New Roman"/>
                <w:color w:val="000000"/>
                <w:kern w:val="0"/>
                <w:sz w:val="24"/>
                <w:szCs w:val="24"/>
              </w:rPr>
              <w:t>)</w:t>
            </w:r>
          </w:p>
        </w:tc>
        <w:tc>
          <w:tcPr>
            <w:tcW w:w="1152" w:type="pct"/>
            <w:shd w:val="clear" w:color="auto" w:fill="auto"/>
            <w:vAlign w:val="center"/>
            <w:hideMark/>
          </w:tcPr>
          <w:p w:rsidR="007D365E" w:rsidRPr="00F01EB1" w:rsidRDefault="007D365E" w:rsidP="00655AE8">
            <w:pPr>
              <w:widowControl/>
              <w:spacing w:line="300" w:lineRule="auto"/>
              <w:jc w:val="center"/>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数量占比（</w:t>
            </w:r>
            <w:r w:rsidRPr="00F01EB1">
              <w:rPr>
                <w:rFonts w:ascii="Times New Roman" w:eastAsia="仿宋_GB2312" w:hAnsi="Times New Roman"/>
                <w:color w:val="000000"/>
                <w:kern w:val="0"/>
                <w:sz w:val="24"/>
                <w:szCs w:val="24"/>
              </w:rPr>
              <w:t>%</w:t>
            </w:r>
            <w:r w:rsidRPr="00F01EB1">
              <w:rPr>
                <w:rFonts w:ascii="仿宋_GB2312" w:eastAsia="仿宋_GB2312" w:hAnsi="宋体" w:cs="宋体" w:hint="eastAsia"/>
                <w:color w:val="000000"/>
                <w:kern w:val="0"/>
                <w:sz w:val="24"/>
                <w:szCs w:val="24"/>
              </w:rPr>
              <w:t>）</w:t>
            </w:r>
          </w:p>
        </w:tc>
        <w:tc>
          <w:tcPr>
            <w:tcW w:w="836" w:type="pct"/>
            <w:shd w:val="clear" w:color="auto" w:fill="auto"/>
            <w:noWrap/>
            <w:vAlign w:val="center"/>
            <w:hideMark/>
          </w:tcPr>
          <w:p w:rsidR="007D365E" w:rsidRPr="00F01EB1" w:rsidRDefault="007D365E" w:rsidP="00655AE8">
            <w:pPr>
              <w:widowControl/>
              <w:spacing w:line="300" w:lineRule="auto"/>
              <w:jc w:val="center"/>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面积</w:t>
            </w:r>
            <w:r w:rsidRPr="00F01EB1">
              <w:rPr>
                <w:rFonts w:ascii="Times New Roman" w:eastAsia="仿宋_GB2312" w:hAnsi="Times New Roman"/>
                <w:color w:val="000000"/>
                <w:kern w:val="0"/>
                <w:sz w:val="24"/>
                <w:szCs w:val="24"/>
              </w:rPr>
              <w:t>(m</w:t>
            </w:r>
            <w:r w:rsidRPr="00F01EB1">
              <w:rPr>
                <w:rFonts w:ascii="Times New Roman" w:eastAsia="仿宋_GB2312" w:hAnsi="Times New Roman"/>
                <w:color w:val="000000"/>
                <w:kern w:val="0"/>
                <w:sz w:val="24"/>
                <w:szCs w:val="24"/>
                <w:vertAlign w:val="superscript"/>
              </w:rPr>
              <w:t>2</w:t>
            </w:r>
            <w:r w:rsidRPr="00F01EB1">
              <w:rPr>
                <w:rFonts w:ascii="Times New Roman" w:eastAsia="仿宋_GB2312" w:hAnsi="Times New Roman" w:hint="eastAsia"/>
                <w:color w:val="000000"/>
                <w:kern w:val="0"/>
                <w:sz w:val="24"/>
                <w:szCs w:val="24"/>
              </w:rPr>
              <w:t>)</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color w:val="000000"/>
                <w:kern w:val="0"/>
                <w:sz w:val="24"/>
                <w:szCs w:val="24"/>
              </w:rPr>
              <w:t>1</w:t>
            </w:r>
          </w:p>
        </w:tc>
        <w:tc>
          <w:tcPr>
            <w:tcW w:w="1360" w:type="pct"/>
            <w:shd w:val="clear" w:color="auto" w:fill="auto"/>
            <w:noWrap/>
            <w:vAlign w:val="center"/>
          </w:tcPr>
          <w:p w:rsidR="006A4DCC" w:rsidRPr="00F01EB1" w:rsidRDefault="00A707ED" w:rsidP="00655AE8">
            <w:pPr>
              <w:widowControl/>
              <w:spacing w:line="300" w:lineRule="auto"/>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国家机关</w:t>
            </w:r>
            <w:r w:rsidR="006A4DCC" w:rsidRPr="00F01EB1">
              <w:rPr>
                <w:rFonts w:ascii="仿宋_GB2312" w:eastAsia="仿宋_GB2312" w:hAnsi="宋体" w:cs="宋体" w:hint="eastAsia"/>
                <w:color w:val="000000"/>
                <w:kern w:val="0"/>
                <w:sz w:val="24"/>
                <w:szCs w:val="24"/>
              </w:rPr>
              <w:t>办公建筑</w:t>
            </w:r>
          </w:p>
        </w:tc>
        <w:tc>
          <w:tcPr>
            <w:tcW w:w="836" w:type="pct"/>
            <w:shd w:val="clear" w:color="auto" w:fill="auto"/>
            <w:noWrap/>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182</w:t>
            </w:r>
          </w:p>
        </w:tc>
        <w:tc>
          <w:tcPr>
            <w:tcW w:w="1152" w:type="pct"/>
            <w:shd w:val="clear" w:color="auto" w:fill="auto"/>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12.1 </w:t>
            </w:r>
          </w:p>
        </w:tc>
        <w:tc>
          <w:tcPr>
            <w:tcW w:w="836" w:type="pct"/>
            <w:shd w:val="clear" w:color="auto" w:fill="auto"/>
            <w:noWrap/>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3684983 </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color w:val="000000"/>
                <w:kern w:val="0"/>
                <w:sz w:val="24"/>
                <w:szCs w:val="24"/>
              </w:rPr>
              <w:t>2</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办公建筑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497</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33.1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21891554 </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hint="eastAsia"/>
                <w:color w:val="000000"/>
                <w:kern w:val="0"/>
                <w:sz w:val="24"/>
                <w:szCs w:val="24"/>
              </w:rPr>
              <w:t>3</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旅游饭店建筑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197</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13.1 </w:t>
            </w:r>
          </w:p>
        </w:tc>
        <w:tc>
          <w:tcPr>
            <w:tcW w:w="836" w:type="pct"/>
            <w:shd w:val="clear" w:color="auto" w:fill="auto"/>
            <w:noWrap/>
            <w:hideMark/>
          </w:tcPr>
          <w:p w:rsidR="006A4DCC" w:rsidRPr="00F01EB1" w:rsidRDefault="00CD5991" w:rsidP="00655AE8">
            <w:pPr>
              <w:widowControl/>
              <w:spacing w:line="300" w:lineRule="auto"/>
              <w:jc w:val="right"/>
              <w:rPr>
                <w:rFonts w:ascii="Times New Roman" w:hAnsi="Times New Roman"/>
                <w:color w:val="000000"/>
                <w:kern w:val="0"/>
                <w:sz w:val="24"/>
                <w:szCs w:val="24"/>
              </w:rPr>
            </w:pPr>
            <w:r>
              <w:rPr>
                <w:rFonts w:ascii="Times New Roman" w:hAnsi="Times New Roman"/>
                <w:color w:val="000000"/>
                <w:kern w:val="0"/>
                <w:sz w:val="24"/>
                <w:szCs w:val="24"/>
              </w:rPr>
              <w:t>841216</w:t>
            </w:r>
            <w:r>
              <w:rPr>
                <w:rFonts w:ascii="Times New Roman" w:hAnsi="Times New Roman" w:hint="eastAsia"/>
                <w:color w:val="000000"/>
                <w:kern w:val="0"/>
                <w:sz w:val="24"/>
                <w:szCs w:val="24"/>
              </w:rPr>
              <w:t>9</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hint="eastAsia"/>
                <w:color w:val="000000"/>
                <w:kern w:val="0"/>
                <w:sz w:val="24"/>
                <w:szCs w:val="24"/>
              </w:rPr>
              <w:t>4</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商场建筑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226</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15.1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12803583 </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hint="eastAsia"/>
                <w:color w:val="000000"/>
                <w:kern w:val="0"/>
                <w:sz w:val="24"/>
                <w:szCs w:val="24"/>
              </w:rPr>
              <w:t>5</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综合建筑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172</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11.5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11080422 </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hint="eastAsia"/>
                <w:color w:val="000000"/>
                <w:kern w:val="0"/>
                <w:sz w:val="24"/>
                <w:szCs w:val="24"/>
              </w:rPr>
              <w:t>6</w:t>
            </w:r>
          </w:p>
        </w:tc>
        <w:tc>
          <w:tcPr>
            <w:tcW w:w="1360" w:type="pct"/>
            <w:shd w:val="clear" w:color="auto" w:fill="auto"/>
            <w:noWrap/>
            <w:vAlign w:val="center"/>
            <w:hideMark/>
          </w:tcPr>
          <w:p w:rsidR="006A4DCC" w:rsidRPr="00F01EB1" w:rsidRDefault="00A707ED" w:rsidP="00655AE8">
            <w:pPr>
              <w:widowControl/>
              <w:spacing w:line="300" w:lineRule="auto"/>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医疗</w:t>
            </w:r>
            <w:r w:rsidR="006A4DCC" w:rsidRPr="00F01EB1">
              <w:rPr>
                <w:rFonts w:ascii="仿宋_GB2312" w:eastAsia="仿宋_GB2312" w:hAnsi="宋体" w:cs="宋体" w:hint="eastAsia"/>
                <w:color w:val="000000"/>
                <w:kern w:val="0"/>
                <w:sz w:val="24"/>
                <w:szCs w:val="24"/>
              </w:rPr>
              <w:t>卫生建筑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105</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7.0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3368932 </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hint="eastAsia"/>
                <w:color w:val="000000"/>
                <w:kern w:val="0"/>
                <w:sz w:val="24"/>
                <w:szCs w:val="24"/>
              </w:rPr>
              <w:t>7</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教育建筑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50</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3.3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1855715 </w:t>
            </w:r>
          </w:p>
        </w:tc>
      </w:tr>
      <w:tr w:rsidR="006A4DCC" w:rsidRPr="00F01EB1" w:rsidTr="00B30D92">
        <w:trPr>
          <w:trHeight w:val="285"/>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hint="eastAsia"/>
                <w:color w:val="000000"/>
                <w:kern w:val="0"/>
                <w:sz w:val="24"/>
                <w:szCs w:val="24"/>
              </w:rPr>
              <w:t>8</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文化建筑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24</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1.6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848840 </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color w:val="000000"/>
                <w:kern w:val="0"/>
                <w:sz w:val="24"/>
                <w:szCs w:val="24"/>
              </w:rPr>
              <w:t>9</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体育建筑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20</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1.3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710058 </w:t>
            </w:r>
          </w:p>
        </w:tc>
      </w:tr>
      <w:tr w:rsidR="006A4DCC" w:rsidRPr="00F01EB1" w:rsidTr="00B30D92">
        <w:trPr>
          <w:trHeight w:val="300"/>
        </w:trPr>
        <w:tc>
          <w:tcPr>
            <w:tcW w:w="816" w:type="pct"/>
            <w:shd w:val="clear" w:color="auto" w:fill="auto"/>
            <w:noWrap/>
            <w:vAlign w:val="center"/>
          </w:tcPr>
          <w:p w:rsidR="006A4DCC" w:rsidRPr="00F01EB1" w:rsidRDefault="006A4DCC" w:rsidP="00655AE8">
            <w:pPr>
              <w:widowControl/>
              <w:spacing w:line="300" w:lineRule="auto"/>
              <w:jc w:val="center"/>
              <w:rPr>
                <w:rFonts w:ascii="Times New Roman" w:hAnsi="Times New Roman"/>
                <w:color w:val="000000"/>
                <w:kern w:val="0"/>
                <w:sz w:val="24"/>
                <w:szCs w:val="24"/>
              </w:rPr>
            </w:pPr>
            <w:r w:rsidRPr="00F01EB1">
              <w:rPr>
                <w:rFonts w:ascii="Times New Roman" w:hAnsi="Times New Roman" w:hint="eastAsia"/>
                <w:color w:val="000000"/>
                <w:kern w:val="0"/>
                <w:sz w:val="24"/>
                <w:szCs w:val="24"/>
              </w:rPr>
              <w:t>10</w:t>
            </w:r>
          </w:p>
        </w:tc>
        <w:tc>
          <w:tcPr>
            <w:tcW w:w="1360" w:type="pct"/>
            <w:shd w:val="clear" w:color="auto" w:fill="auto"/>
            <w:noWrap/>
            <w:vAlign w:val="center"/>
            <w:hideMark/>
          </w:tcPr>
          <w:p w:rsidR="006A4DCC" w:rsidRPr="00F01EB1" w:rsidRDefault="006A4DCC" w:rsidP="00655AE8">
            <w:pPr>
              <w:widowControl/>
              <w:spacing w:line="300" w:lineRule="auto"/>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其他建筑</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28</w:t>
            </w:r>
          </w:p>
        </w:tc>
        <w:tc>
          <w:tcPr>
            <w:tcW w:w="1152" w:type="pct"/>
            <w:shd w:val="clear" w:color="auto" w:fill="auto"/>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1.9 </w:t>
            </w:r>
          </w:p>
        </w:tc>
        <w:tc>
          <w:tcPr>
            <w:tcW w:w="836" w:type="pct"/>
            <w:shd w:val="clear" w:color="auto" w:fill="auto"/>
            <w:noWrap/>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 xml:space="preserve">1066100 </w:t>
            </w:r>
          </w:p>
        </w:tc>
      </w:tr>
      <w:tr w:rsidR="006A4DCC" w:rsidRPr="00F01EB1" w:rsidTr="00B30D92">
        <w:trPr>
          <w:trHeight w:val="267"/>
        </w:trPr>
        <w:tc>
          <w:tcPr>
            <w:tcW w:w="2176" w:type="pct"/>
            <w:gridSpan w:val="2"/>
            <w:shd w:val="clear" w:color="000000" w:fill="FFFFFF"/>
            <w:noWrap/>
            <w:vAlign w:val="center"/>
            <w:hideMark/>
          </w:tcPr>
          <w:p w:rsidR="006A4DCC" w:rsidRPr="00F01EB1" w:rsidRDefault="006A4DCC" w:rsidP="00655AE8">
            <w:pPr>
              <w:widowControl/>
              <w:spacing w:line="300" w:lineRule="auto"/>
              <w:jc w:val="center"/>
              <w:rPr>
                <w:rFonts w:ascii="仿宋_GB2312" w:eastAsia="仿宋_GB2312" w:hAnsi="宋体" w:cs="宋体"/>
                <w:color w:val="000000"/>
                <w:kern w:val="0"/>
                <w:sz w:val="24"/>
                <w:szCs w:val="24"/>
              </w:rPr>
            </w:pPr>
            <w:r w:rsidRPr="00F01EB1">
              <w:rPr>
                <w:rFonts w:ascii="仿宋_GB2312" w:eastAsia="仿宋_GB2312" w:hAnsi="宋体" w:cs="宋体" w:hint="eastAsia"/>
                <w:color w:val="000000"/>
                <w:kern w:val="0"/>
                <w:sz w:val="24"/>
                <w:szCs w:val="24"/>
              </w:rPr>
              <w:t>总计</w:t>
            </w:r>
          </w:p>
        </w:tc>
        <w:tc>
          <w:tcPr>
            <w:tcW w:w="836" w:type="pct"/>
            <w:shd w:val="clear" w:color="auto" w:fill="auto"/>
            <w:noWrap/>
            <w:vAlign w:val="center"/>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1501</w:t>
            </w:r>
          </w:p>
        </w:tc>
        <w:tc>
          <w:tcPr>
            <w:tcW w:w="1152" w:type="pct"/>
            <w:shd w:val="clear" w:color="000000" w:fill="FFFFFF"/>
            <w:vAlign w:val="center"/>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100.0</w:t>
            </w:r>
          </w:p>
        </w:tc>
        <w:tc>
          <w:tcPr>
            <w:tcW w:w="836" w:type="pct"/>
            <w:shd w:val="clear" w:color="000000" w:fill="FFFFFF"/>
            <w:noWrap/>
            <w:vAlign w:val="center"/>
            <w:hideMark/>
          </w:tcPr>
          <w:p w:rsidR="006A4DCC" w:rsidRPr="00F01EB1" w:rsidRDefault="006A4DCC" w:rsidP="00655AE8">
            <w:pPr>
              <w:widowControl/>
              <w:spacing w:line="300" w:lineRule="auto"/>
              <w:jc w:val="right"/>
              <w:rPr>
                <w:rFonts w:ascii="Times New Roman" w:hAnsi="Times New Roman"/>
                <w:color w:val="000000"/>
                <w:kern w:val="0"/>
                <w:sz w:val="24"/>
                <w:szCs w:val="24"/>
              </w:rPr>
            </w:pPr>
            <w:r w:rsidRPr="00F01EB1">
              <w:rPr>
                <w:rFonts w:ascii="Times New Roman" w:hAnsi="Times New Roman"/>
                <w:color w:val="000000"/>
                <w:kern w:val="0"/>
                <w:sz w:val="24"/>
                <w:szCs w:val="24"/>
              </w:rPr>
              <w:t>6572235</w:t>
            </w:r>
            <w:r w:rsidR="00CD5991">
              <w:rPr>
                <w:rFonts w:ascii="Times New Roman" w:hAnsi="Times New Roman" w:hint="eastAsia"/>
                <w:color w:val="000000"/>
                <w:kern w:val="0"/>
                <w:sz w:val="24"/>
                <w:szCs w:val="24"/>
              </w:rPr>
              <w:t>6</w:t>
            </w:r>
          </w:p>
        </w:tc>
      </w:tr>
    </w:tbl>
    <w:p w:rsidR="006A4DCC" w:rsidRDefault="00465665" w:rsidP="00EE51E8">
      <w:pPr>
        <w:spacing w:line="360" w:lineRule="auto"/>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注：其他建筑包含交通运输</w:t>
      </w:r>
      <w:r w:rsidR="005D10E6">
        <w:rPr>
          <w:rFonts w:ascii="Times New Roman" w:eastAsia="仿宋" w:hAnsi="Times New Roman" w:hint="eastAsia"/>
          <w:color w:val="000000" w:themeColor="text1"/>
          <w:sz w:val="24"/>
          <w:szCs w:val="24"/>
        </w:rPr>
        <w:t>类</w:t>
      </w:r>
      <w:r>
        <w:rPr>
          <w:rFonts w:ascii="Times New Roman" w:eastAsia="仿宋" w:hAnsi="Times New Roman" w:hint="eastAsia"/>
          <w:color w:val="000000" w:themeColor="text1"/>
          <w:sz w:val="24"/>
          <w:szCs w:val="24"/>
        </w:rPr>
        <w:t>建筑、酒店式公寓</w:t>
      </w:r>
      <w:r w:rsidR="00EE51E8">
        <w:rPr>
          <w:rFonts w:ascii="Times New Roman" w:eastAsia="仿宋" w:hAnsi="Times New Roman" w:hint="eastAsia"/>
          <w:color w:val="000000" w:themeColor="text1"/>
          <w:sz w:val="24"/>
          <w:szCs w:val="24"/>
        </w:rPr>
        <w:t>等无法归于</w:t>
      </w:r>
      <w:r w:rsidR="00EE51E8">
        <w:rPr>
          <w:rFonts w:ascii="Times New Roman" w:eastAsia="仿宋" w:hAnsi="Times New Roman" w:hint="eastAsia"/>
          <w:color w:val="000000" w:themeColor="text1"/>
          <w:sz w:val="24"/>
          <w:szCs w:val="24"/>
        </w:rPr>
        <w:t>1~</w:t>
      </w:r>
      <w:r w:rsidR="00EE51E8">
        <w:rPr>
          <w:rFonts w:ascii="Times New Roman" w:eastAsia="仿宋" w:hAnsi="Times New Roman"/>
          <w:color w:val="000000" w:themeColor="text1"/>
          <w:sz w:val="24"/>
          <w:szCs w:val="24"/>
        </w:rPr>
        <w:t>9</w:t>
      </w:r>
      <w:r w:rsidR="00EE51E8">
        <w:rPr>
          <w:rFonts w:ascii="Times New Roman" w:eastAsia="仿宋" w:hAnsi="Times New Roman" w:hint="eastAsia"/>
          <w:color w:val="000000" w:themeColor="text1"/>
          <w:sz w:val="24"/>
          <w:szCs w:val="24"/>
        </w:rPr>
        <w:t>类的建筑</w:t>
      </w:r>
      <w:r w:rsidR="00CF3D49">
        <w:rPr>
          <w:rFonts w:ascii="Times New Roman" w:eastAsia="仿宋" w:hAnsi="Times New Roman" w:hint="eastAsia"/>
          <w:color w:val="000000" w:themeColor="text1"/>
          <w:sz w:val="24"/>
          <w:szCs w:val="24"/>
        </w:rPr>
        <w:t>。</w:t>
      </w:r>
    </w:p>
    <w:p w:rsidR="00151311" w:rsidRDefault="001A11EB" w:rsidP="00151311">
      <w:pPr>
        <w:spacing w:line="360" w:lineRule="auto"/>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年度新增接入量方面，</w:t>
      </w:r>
      <w:r w:rsidR="005D10E6">
        <w:rPr>
          <w:rFonts w:ascii="仿宋_GB2312" w:eastAsia="仿宋_GB2312" w:hAnsi="仿宋" w:cstheme="minorBidi" w:hint="eastAsia"/>
          <w:sz w:val="30"/>
          <w:szCs w:val="30"/>
        </w:rPr>
        <w:t>2016年，能耗监测</w:t>
      </w:r>
      <w:r w:rsidR="005D10E6" w:rsidRPr="0029022F">
        <w:rPr>
          <w:rFonts w:ascii="仿宋_GB2312" w:eastAsia="仿宋_GB2312" w:hAnsi="仿宋" w:cstheme="minorBidi" w:hint="eastAsia"/>
          <w:sz w:val="30"/>
          <w:szCs w:val="30"/>
        </w:rPr>
        <w:t>平台</w:t>
      </w:r>
      <w:r w:rsidR="006A4DCC" w:rsidRPr="0029022F">
        <w:rPr>
          <w:rFonts w:ascii="仿宋_GB2312" w:eastAsia="仿宋_GB2312" w:hAnsi="仿宋" w:cstheme="minorBidi" w:hint="eastAsia"/>
          <w:sz w:val="30"/>
          <w:szCs w:val="30"/>
        </w:rPr>
        <w:t>新</w:t>
      </w:r>
      <w:r w:rsidR="005D10E6">
        <w:rPr>
          <w:rFonts w:ascii="仿宋_GB2312" w:eastAsia="仿宋_GB2312" w:hAnsi="仿宋" w:cstheme="minorBidi" w:hint="eastAsia"/>
          <w:sz w:val="30"/>
          <w:szCs w:val="30"/>
        </w:rPr>
        <w:t>增联网</w:t>
      </w:r>
      <w:r w:rsidR="00BC7D01">
        <w:rPr>
          <w:rFonts w:ascii="仿宋_GB2312" w:eastAsia="仿宋_GB2312" w:hAnsi="仿宋" w:cstheme="minorBidi" w:hint="eastAsia"/>
          <w:sz w:val="30"/>
          <w:szCs w:val="30"/>
        </w:rPr>
        <w:t>建筑</w:t>
      </w:r>
      <w:r w:rsidR="006A4DCC" w:rsidRPr="0029022F">
        <w:rPr>
          <w:rFonts w:ascii="仿宋_GB2312" w:eastAsia="仿宋_GB2312" w:hAnsi="仿宋" w:cstheme="minorBidi" w:hint="eastAsia"/>
          <w:sz w:val="30"/>
          <w:szCs w:val="30"/>
        </w:rPr>
        <w:t>共计213</w:t>
      </w:r>
      <w:r w:rsidR="00A707ED">
        <w:rPr>
          <w:rFonts w:ascii="仿宋_GB2312" w:eastAsia="仿宋_GB2312" w:hAnsi="仿宋" w:cstheme="minorBidi" w:hint="eastAsia"/>
          <w:sz w:val="30"/>
          <w:szCs w:val="30"/>
        </w:rPr>
        <w:t>栋，</w:t>
      </w:r>
      <w:r w:rsidR="006A4DCC" w:rsidRPr="0029022F">
        <w:rPr>
          <w:rFonts w:ascii="仿宋_GB2312" w:eastAsia="仿宋_GB2312" w:hAnsi="仿宋" w:cstheme="minorBidi" w:hint="eastAsia"/>
          <w:sz w:val="30"/>
          <w:szCs w:val="30"/>
        </w:rPr>
        <w:t>建筑面积</w:t>
      </w:r>
      <w:r w:rsidR="00A707ED">
        <w:rPr>
          <w:rFonts w:ascii="仿宋_GB2312" w:eastAsia="仿宋_GB2312" w:hAnsi="仿宋" w:cstheme="minorBidi" w:hint="eastAsia"/>
          <w:sz w:val="30"/>
          <w:szCs w:val="30"/>
        </w:rPr>
        <w:t>合计</w:t>
      </w:r>
      <w:r w:rsidR="006A4DCC" w:rsidRPr="0029022F">
        <w:rPr>
          <w:rFonts w:ascii="仿宋_GB2312" w:eastAsia="仿宋_GB2312" w:hAnsi="仿宋" w:cstheme="minorBidi" w:hint="eastAsia"/>
          <w:sz w:val="30"/>
          <w:szCs w:val="30"/>
        </w:rPr>
        <w:t>约852.</w:t>
      </w:r>
      <w:r w:rsidR="005C04D7">
        <w:rPr>
          <w:rFonts w:ascii="仿宋_GB2312" w:eastAsia="仿宋_GB2312" w:hAnsi="仿宋" w:cstheme="minorBidi"/>
          <w:sz w:val="30"/>
          <w:szCs w:val="30"/>
        </w:rPr>
        <w:t>7</w:t>
      </w:r>
      <w:r w:rsidR="00614BAD">
        <w:rPr>
          <w:rFonts w:ascii="仿宋_GB2312" w:eastAsia="仿宋_GB2312" w:hAnsi="仿宋" w:cstheme="minorBidi" w:hint="eastAsia"/>
          <w:sz w:val="30"/>
          <w:szCs w:val="30"/>
        </w:rPr>
        <w:t>万</w:t>
      </w:r>
      <w:r w:rsidR="006A4DCC" w:rsidRPr="0029022F">
        <w:rPr>
          <w:rFonts w:ascii="仿宋_GB2312" w:eastAsia="仿宋_GB2312" w:hAnsi="仿宋" w:cstheme="minorBidi" w:hint="eastAsia"/>
          <w:sz w:val="30"/>
          <w:szCs w:val="30"/>
        </w:rPr>
        <w:t>m</w:t>
      </w:r>
      <w:r w:rsidR="006A4DCC" w:rsidRPr="00A707ED">
        <w:rPr>
          <w:rFonts w:ascii="仿宋_GB2312" w:eastAsia="仿宋_GB2312" w:hAnsi="仿宋" w:cstheme="minorBidi"/>
          <w:sz w:val="30"/>
          <w:szCs w:val="30"/>
          <w:vertAlign w:val="superscript"/>
        </w:rPr>
        <w:t>2</w:t>
      </w:r>
      <w:r w:rsidR="006A4DCC" w:rsidRPr="0029022F">
        <w:rPr>
          <w:rFonts w:ascii="仿宋_GB2312" w:eastAsia="仿宋_GB2312" w:hAnsi="仿宋" w:cstheme="minorBidi" w:hint="eastAsia"/>
          <w:sz w:val="30"/>
          <w:szCs w:val="30"/>
        </w:rPr>
        <w:t>，其中国家机关办公建筑14栋，覆盖建筑面积约33.9万m</w:t>
      </w:r>
      <w:r w:rsidR="006A4DCC" w:rsidRPr="00A707ED">
        <w:rPr>
          <w:rFonts w:ascii="仿宋_GB2312" w:eastAsia="仿宋_GB2312" w:hAnsi="仿宋" w:cstheme="minorBidi"/>
          <w:sz w:val="30"/>
          <w:szCs w:val="30"/>
          <w:vertAlign w:val="superscript"/>
        </w:rPr>
        <w:t>2</w:t>
      </w:r>
      <w:r w:rsidR="006A4DCC" w:rsidRPr="0029022F">
        <w:rPr>
          <w:rFonts w:ascii="仿宋_GB2312" w:eastAsia="仿宋_GB2312" w:hAnsi="仿宋" w:cstheme="minorBidi" w:hint="eastAsia"/>
          <w:sz w:val="30"/>
          <w:szCs w:val="30"/>
        </w:rPr>
        <w:t>，大型公共建筑199栋，</w:t>
      </w:r>
      <w:r w:rsidR="008246AE" w:rsidRPr="0029022F">
        <w:rPr>
          <w:rFonts w:ascii="仿宋_GB2312" w:eastAsia="仿宋_GB2312" w:hAnsi="仿宋" w:cstheme="minorBidi" w:hint="eastAsia"/>
          <w:sz w:val="30"/>
          <w:szCs w:val="30"/>
        </w:rPr>
        <w:t>覆盖建筑面积</w:t>
      </w:r>
      <w:r w:rsidR="006A4DCC" w:rsidRPr="0029022F">
        <w:rPr>
          <w:rFonts w:ascii="仿宋_GB2312" w:eastAsia="仿宋_GB2312" w:hAnsi="仿宋" w:cstheme="minorBidi" w:hint="eastAsia"/>
          <w:sz w:val="30"/>
          <w:szCs w:val="30"/>
        </w:rPr>
        <w:t>约818.8万m</w:t>
      </w:r>
      <w:r w:rsidR="006A4DCC" w:rsidRPr="00A707ED">
        <w:rPr>
          <w:rFonts w:ascii="仿宋_GB2312" w:eastAsia="仿宋_GB2312" w:hAnsi="仿宋" w:cstheme="minorBidi"/>
          <w:sz w:val="30"/>
          <w:szCs w:val="30"/>
          <w:vertAlign w:val="superscript"/>
        </w:rPr>
        <w:t>2</w:t>
      </w:r>
      <w:r w:rsidR="008246AE" w:rsidRPr="0029022F">
        <w:rPr>
          <w:rFonts w:ascii="仿宋_GB2312" w:eastAsia="仿宋_GB2312" w:hAnsi="仿宋" w:cstheme="minorBidi" w:hint="eastAsia"/>
          <w:sz w:val="30"/>
          <w:szCs w:val="30"/>
        </w:rPr>
        <w:t>。各主要类型建筑增量</w:t>
      </w:r>
      <w:r>
        <w:rPr>
          <w:rFonts w:ascii="仿宋_GB2312" w:eastAsia="仿宋_GB2312" w:hAnsi="仿宋" w:cstheme="minorBidi" w:hint="eastAsia"/>
          <w:sz w:val="30"/>
          <w:szCs w:val="30"/>
        </w:rPr>
        <w:t>分布</w:t>
      </w:r>
      <w:r w:rsidR="008246AE" w:rsidRPr="0029022F">
        <w:rPr>
          <w:rFonts w:ascii="仿宋_GB2312" w:eastAsia="仿宋_GB2312" w:hAnsi="仿宋" w:cstheme="minorBidi" w:hint="eastAsia"/>
          <w:sz w:val="30"/>
          <w:szCs w:val="30"/>
        </w:rPr>
        <w:t>情</w:t>
      </w:r>
      <w:r w:rsidR="008246AE" w:rsidRPr="0029022F">
        <w:rPr>
          <w:rFonts w:ascii="仿宋_GB2312" w:eastAsia="仿宋_GB2312" w:hAnsi="仿宋" w:cstheme="minorBidi" w:hint="eastAsia"/>
          <w:sz w:val="30"/>
          <w:szCs w:val="30"/>
        </w:rPr>
        <w:lastRenderedPageBreak/>
        <w:t>况如图1所示。</w:t>
      </w:r>
      <w:r w:rsidR="00BC7D01">
        <w:rPr>
          <w:rFonts w:ascii="仿宋_GB2312" w:eastAsia="仿宋_GB2312" w:hAnsi="仿宋" w:cstheme="minorBidi" w:hint="eastAsia"/>
          <w:sz w:val="30"/>
          <w:szCs w:val="30"/>
        </w:rPr>
        <w:t>新增</w:t>
      </w:r>
      <w:r w:rsidR="00FC2A88">
        <w:rPr>
          <w:rFonts w:ascii="仿宋_GB2312" w:eastAsia="仿宋_GB2312" w:hAnsi="仿宋" w:cstheme="minorBidi" w:hint="eastAsia"/>
          <w:sz w:val="30"/>
          <w:szCs w:val="30"/>
        </w:rPr>
        <w:t>联网</w:t>
      </w:r>
      <w:r w:rsidR="00BC7D01">
        <w:rPr>
          <w:rFonts w:ascii="仿宋_GB2312" w:eastAsia="仿宋_GB2312" w:hAnsi="仿宋" w:cstheme="minorBidi" w:hint="eastAsia"/>
          <w:sz w:val="30"/>
          <w:szCs w:val="30"/>
        </w:rPr>
        <w:t>建筑中，</w:t>
      </w:r>
      <w:r w:rsidR="00A04732">
        <w:rPr>
          <w:rFonts w:ascii="仿宋_GB2312" w:eastAsia="仿宋_GB2312" w:hAnsi="仿宋" w:cstheme="minorBidi" w:hint="eastAsia"/>
          <w:sz w:val="30"/>
          <w:szCs w:val="30"/>
        </w:rPr>
        <w:t>办公建筑数量最多，达67栋，</w:t>
      </w:r>
      <w:r w:rsidR="00A707ED">
        <w:rPr>
          <w:rFonts w:ascii="仿宋_GB2312" w:eastAsia="仿宋_GB2312" w:hAnsi="仿宋" w:cstheme="minorBidi" w:hint="eastAsia"/>
          <w:sz w:val="30"/>
          <w:szCs w:val="30"/>
        </w:rPr>
        <w:t>医疗卫生建筑</w:t>
      </w:r>
      <w:r w:rsidR="00A04732">
        <w:rPr>
          <w:rFonts w:ascii="仿宋_GB2312" w:eastAsia="仿宋_GB2312" w:hAnsi="仿宋" w:cstheme="minorBidi" w:hint="eastAsia"/>
          <w:sz w:val="30"/>
          <w:szCs w:val="30"/>
        </w:rPr>
        <w:t>增幅最大，</w:t>
      </w:r>
      <w:r w:rsidR="00BC04D7">
        <w:rPr>
          <w:rFonts w:ascii="仿宋_GB2312" w:eastAsia="仿宋_GB2312" w:hAnsi="仿宋" w:cstheme="minorBidi" w:hint="eastAsia"/>
          <w:sz w:val="30"/>
          <w:szCs w:val="30"/>
        </w:rPr>
        <w:t>达61</w:t>
      </w:r>
      <w:r w:rsidR="00151311" w:rsidRPr="0029022F">
        <w:rPr>
          <w:rFonts w:ascii="仿宋_GB2312" w:eastAsia="仿宋_GB2312" w:hAnsi="仿宋" w:cstheme="minorBidi" w:hint="eastAsia"/>
          <w:sz w:val="30"/>
          <w:szCs w:val="30"/>
        </w:rPr>
        <w:t>%，其它各类型建筑</w:t>
      </w:r>
      <w:r w:rsidR="00EE51E8">
        <w:rPr>
          <w:rFonts w:ascii="仿宋_GB2312" w:eastAsia="仿宋_GB2312" w:hAnsi="仿宋" w:cstheme="minorBidi" w:hint="eastAsia"/>
          <w:sz w:val="30"/>
          <w:szCs w:val="30"/>
        </w:rPr>
        <w:t>接入量增</w:t>
      </w:r>
      <w:r w:rsidR="00BC04D7">
        <w:rPr>
          <w:rFonts w:ascii="仿宋_GB2312" w:eastAsia="仿宋_GB2312" w:hAnsi="仿宋" w:cstheme="minorBidi" w:hint="eastAsia"/>
          <w:sz w:val="30"/>
          <w:szCs w:val="30"/>
        </w:rPr>
        <w:t>幅</w:t>
      </w:r>
      <w:r w:rsidR="00151311" w:rsidRPr="0029022F">
        <w:rPr>
          <w:rFonts w:ascii="仿宋_GB2312" w:eastAsia="仿宋_GB2312" w:hAnsi="仿宋" w:cstheme="minorBidi" w:hint="eastAsia"/>
          <w:sz w:val="30"/>
          <w:szCs w:val="30"/>
        </w:rPr>
        <w:t>在10%</w:t>
      </w:r>
      <w:r w:rsidR="00151311" w:rsidRPr="005A1C91">
        <w:rPr>
          <w:rFonts w:ascii="Times New Roman" w:eastAsia="仿宋_GB2312" w:hAnsi="Times New Roman"/>
          <w:sz w:val="30"/>
          <w:szCs w:val="30"/>
        </w:rPr>
        <w:t>~</w:t>
      </w:r>
      <w:r w:rsidR="00151311" w:rsidRPr="0029022F">
        <w:rPr>
          <w:rFonts w:ascii="仿宋_GB2312" w:eastAsia="仿宋_GB2312" w:hAnsi="仿宋" w:cstheme="minorBidi"/>
          <w:sz w:val="30"/>
          <w:szCs w:val="30"/>
        </w:rPr>
        <w:t xml:space="preserve"> 20</w:t>
      </w:r>
      <w:r w:rsidR="00151311" w:rsidRPr="0029022F">
        <w:rPr>
          <w:rFonts w:ascii="仿宋_GB2312" w:eastAsia="仿宋_GB2312" w:hAnsi="仿宋" w:cstheme="minorBidi" w:hint="eastAsia"/>
          <w:sz w:val="30"/>
          <w:szCs w:val="30"/>
        </w:rPr>
        <w:t>%</w:t>
      </w:r>
      <w:r w:rsidR="00BC04D7">
        <w:rPr>
          <w:rFonts w:ascii="仿宋_GB2312" w:eastAsia="仿宋_GB2312" w:hAnsi="仿宋" w:cstheme="minorBidi" w:hint="eastAsia"/>
          <w:sz w:val="30"/>
          <w:szCs w:val="30"/>
        </w:rPr>
        <w:t>之间不等</w:t>
      </w:r>
      <w:r w:rsidR="00614BAD">
        <w:rPr>
          <w:rFonts w:ascii="仿宋_GB2312" w:eastAsia="仿宋_GB2312" w:hAnsi="仿宋" w:cstheme="minorBidi" w:hint="eastAsia"/>
          <w:sz w:val="30"/>
          <w:szCs w:val="30"/>
        </w:rPr>
        <w:t>。</w:t>
      </w:r>
    </w:p>
    <w:p w:rsidR="00614BAD" w:rsidRDefault="003C5058" w:rsidP="009C05E5">
      <w:pPr>
        <w:spacing w:line="360" w:lineRule="auto"/>
        <w:jc w:val="center"/>
        <w:rPr>
          <w:rFonts w:ascii="Times New Roman" w:eastAsia="仿宋" w:hAnsi="Times New Roman"/>
          <w:color w:val="000000" w:themeColor="text1"/>
          <w:sz w:val="24"/>
          <w:szCs w:val="24"/>
        </w:rPr>
      </w:pPr>
      <w:r>
        <w:rPr>
          <w:noProof/>
        </w:rPr>
        <w:drawing>
          <wp:inline distT="0" distB="0" distL="0" distR="0">
            <wp:extent cx="5278120" cy="3213100"/>
            <wp:effectExtent l="0" t="0" r="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1311" w:rsidRPr="004D58D1" w:rsidRDefault="00151311" w:rsidP="00DB66EC">
      <w:pPr>
        <w:spacing w:afterLines="100" w:line="360" w:lineRule="auto"/>
        <w:jc w:val="center"/>
        <w:rPr>
          <w:rFonts w:ascii="Times New Roman" w:eastAsia="仿宋_GB2312" w:hAnsi="Times New Roman" w:cstheme="majorBidi"/>
          <w:color w:val="000000" w:themeColor="text1"/>
          <w:sz w:val="24"/>
          <w:szCs w:val="24"/>
        </w:rPr>
      </w:pPr>
      <w:r w:rsidRPr="004D58D1">
        <w:rPr>
          <w:rFonts w:ascii="Times New Roman" w:eastAsia="仿宋_GB2312" w:hAnsi="Times New Roman" w:cstheme="majorBidi" w:hint="eastAsia"/>
          <w:color w:val="000000" w:themeColor="text1"/>
          <w:sz w:val="24"/>
          <w:szCs w:val="24"/>
        </w:rPr>
        <w:t>图</w:t>
      </w:r>
      <w:r w:rsidR="00D83F81">
        <w:rPr>
          <w:rFonts w:ascii="Times New Roman" w:eastAsia="仿宋_GB2312" w:hAnsi="Times New Roman" w:cstheme="majorBidi" w:hint="eastAsia"/>
          <w:color w:val="000000" w:themeColor="text1"/>
          <w:sz w:val="24"/>
          <w:szCs w:val="24"/>
        </w:rPr>
        <w:t>1</w:t>
      </w:r>
      <w:r w:rsidR="00AB2DCF">
        <w:rPr>
          <w:rFonts w:ascii="Times New Roman" w:eastAsia="仿宋_GB2312" w:hAnsi="Times New Roman" w:cstheme="majorBidi" w:hint="eastAsia"/>
          <w:color w:val="000000" w:themeColor="text1"/>
          <w:sz w:val="24"/>
          <w:szCs w:val="24"/>
        </w:rPr>
        <w:t>2016</w:t>
      </w:r>
      <w:r w:rsidR="005D10E6">
        <w:rPr>
          <w:rFonts w:ascii="Times New Roman" w:eastAsia="仿宋_GB2312" w:hAnsi="Times New Roman" w:cstheme="majorBidi" w:hint="eastAsia"/>
          <w:color w:val="000000" w:themeColor="text1"/>
          <w:sz w:val="24"/>
          <w:szCs w:val="24"/>
        </w:rPr>
        <w:t>年</w:t>
      </w:r>
      <w:r w:rsidR="00AA405F">
        <w:rPr>
          <w:rFonts w:ascii="Times New Roman" w:eastAsia="仿宋_GB2312" w:hAnsi="Times New Roman" w:cstheme="majorBidi" w:hint="eastAsia"/>
          <w:color w:val="000000" w:themeColor="text1"/>
          <w:sz w:val="24"/>
          <w:szCs w:val="24"/>
        </w:rPr>
        <w:t>接入</w:t>
      </w:r>
      <w:r w:rsidR="00696491">
        <w:rPr>
          <w:rFonts w:ascii="Times New Roman" w:eastAsia="仿宋_GB2312" w:hAnsi="Times New Roman" w:cstheme="majorBidi" w:hint="eastAsia"/>
          <w:color w:val="000000" w:themeColor="text1"/>
          <w:sz w:val="24"/>
          <w:szCs w:val="24"/>
        </w:rPr>
        <w:t>能耗监测</w:t>
      </w:r>
      <w:r w:rsidR="001A11EB">
        <w:rPr>
          <w:rFonts w:ascii="Times New Roman" w:eastAsia="仿宋_GB2312" w:hAnsi="Times New Roman" w:cstheme="majorBidi" w:hint="eastAsia"/>
          <w:color w:val="000000" w:themeColor="text1"/>
          <w:sz w:val="24"/>
          <w:szCs w:val="24"/>
        </w:rPr>
        <w:t>平台</w:t>
      </w:r>
      <w:r w:rsidR="00696491">
        <w:rPr>
          <w:rFonts w:ascii="Times New Roman" w:eastAsia="仿宋_GB2312" w:hAnsi="Times New Roman" w:cstheme="majorBidi" w:hint="eastAsia"/>
          <w:color w:val="000000" w:themeColor="text1"/>
          <w:sz w:val="24"/>
          <w:szCs w:val="24"/>
        </w:rPr>
        <w:t>主要</w:t>
      </w:r>
      <w:r w:rsidRPr="004D58D1">
        <w:rPr>
          <w:rFonts w:ascii="Times New Roman" w:eastAsia="仿宋_GB2312" w:hAnsi="Times New Roman" w:cstheme="majorBidi" w:hint="eastAsia"/>
          <w:color w:val="000000" w:themeColor="text1"/>
          <w:sz w:val="24"/>
          <w:szCs w:val="24"/>
        </w:rPr>
        <w:t>类型建筑新增量情况</w:t>
      </w:r>
    </w:p>
    <w:p w:rsidR="00DC21C2" w:rsidRDefault="001A11EB" w:rsidP="00DB66EC">
      <w:pPr>
        <w:spacing w:afterLines="50" w:line="360" w:lineRule="auto"/>
        <w:ind w:firstLineChars="200" w:firstLine="600"/>
        <w:jc w:val="left"/>
        <w:rPr>
          <w:rFonts w:ascii="仿宋_GB2312" w:eastAsia="仿宋_GB2312" w:hAnsi="仿宋" w:cstheme="minorBidi"/>
          <w:sz w:val="30"/>
          <w:szCs w:val="30"/>
        </w:rPr>
      </w:pPr>
      <w:r>
        <w:rPr>
          <w:rFonts w:ascii="仿宋_GB2312" w:eastAsia="仿宋_GB2312" w:hAnsi="仿宋" w:cstheme="minorBidi" w:hint="eastAsia"/>
          <w:sz w:val="30"/>
          <w:szCs w:val="30"/>
        </w:rPr>
        <w:t>单栋</w:t>
      </w:r>
      <w:r w:rsidR="00423883">
        <w:rPr>
          <w:rFonts w:ascii="仿宋_GB2312" w:eastAsia="仿宋_GB2312" w:hAnsi="仿宋" w:cstheme="minorBidi" w:hint="eastAsia"/>
          <w:sz w:val="30"/>
          <w:szCs w:val="30"/>
        </w:rPr>
        <w:t>建筑面积分布</w:t>
      </w:r>
      <w:r>
        <w:rPr>
          <w:rFonts w:ascii="仿宋_GB2312" w:eastAsia="仿宋_GB2312" w:hAnsi="仿宋" w:cstheme="minorBidi" w:hint="eastAsia"/>
          <w:sz w:val="30"/>
          <w:szCs w:val="30"/>
        </w:rPr>
        <w:t>方面，</w:t>
      </w:r>
      <w:r w:rsidR="00696491">
        <w:rPr>
          <w:rFonts w:ascii="仿宋_GB2312" w:eastAsia="仿宋_GB2312" w:hAnsi="仿宋" w:cstheme="minorBidi" w:hint="eastAsia"/>
          <w:sz w:val="30"/>
          <w:szCs w:val="30"/>
        </w:rPr>
        <w:t>接</w:t>
      </w:r>
      <w:r w:rsidR="003E443E" w:rsidRPr="0029022F">
        <w:rPr>
          <w:rFonts w:ascii="仿宋_GB2312" w:eastAsia="仿宋_GB2312" w:hAnsi="仿宋" w:cstheme="minorBidi" w:hint="eastAsia"/>
          <w:sz w:val="30"/>
          <w:szCs w:val="30"/>
        </w:rPr>
        <w:t>入</w:t>
      </w:r>
      <w:r w:rsidR="00696491">
        <w:rPr>
          <w:rFonts w:ascii="仿宋_GB2312" w:eastAsia="仿宋_GB2312" w:hAnsi="仿宋" w:cstheme="minorBidi" w:hint="eastAsia"/>
          <w:sz w:val="30"/>
          <w:szCs w:val="30"/>
        </w:rPr>
        <w:t>能耗监测平台</w:t>
      </w:r>
      <w:r w:rsidR="003E443E" w:rsidRPr="0029022F">
        <w:rPr>
          <w:rFonts w:ascii="仿宋_GB2312" w:eastAsia="仿宋_GB2312" w:hAnsi="仿宋" w:cstheme="minorBidi" w:hint="eastAsia"/>
          <w:sz w:val="30"/>
          <w:szCs w:val="30"/>
        </w:rPr>
        <w:t>的</w:t>
      </w:r>
      <w:r w:rsidR="00942798">
        <w:rPr>
          <w:rFonts w:ascii="仿宋_GB2312" w:eastAsia="仿宋_GB2312" w:hAnsi="仿宋" w:cstheme="minorBidi" w:hint="eastAsia"/>
          <w:sz w:val="30"/>
          <w:szCs w:val="30"/>
        </w:rPr>
        <w:t>公共</w:t>
      </w:r>
      <w:r w:rsidR="003E443E" w:rsidRPr="0029022F">
        <w:rPr>
          <w:rFonts w:ascii="仿宋_GB2312" w:eastAsia="仿宋_GB2312" w:hAnsi="仿宋" w:cstheme="minorBidi" w:hint="eastAsia"/>
          <w:sz w:val="30"/>
          <w:szCs w:val="30"/>
        </w:rPr>
        <w:t>建筑面积主要分布在</w:t>
      </w:r>
      <w:r w:rsidR="00FA2EE2" w:rsidRPr="0029022F">
        <w:rPr>
          <w:rFonts w:ascii="仿宋_GB2312" w:eastAsia="仿宋_GB2312" w:hAnsi="仿宋" w:cstheme="minorBidi"/>
          <w:sz w:val="30"/>
          <w:szCs w:val="30"/>
        </w:rPr>
        <w:t>2</w:t>
      </w:r>
      <w:r w:rsidR="003E443E" w:rsidRPr="0029022F">
        <w:rPr>
          <w:rFonts w:ascii="仿宋_GB2312" w:eastAsia="仿宋_GB2312" w:hAnsi="仿宋" w:cstheme="minorBidi" w:hint="eastAsia"/>
          <w:sz w:val="30"/>
          <w:szCs w:val="30"/>
        </w:rPr>
        <w:t>.0万m</w:t>
      </w:r>
      <w:r w:rsidR="003E443E" w:rsidRPr="00942798">
        <w:rPr>
          <w:rFonts w:ascii="仿宋_GB2312" w:eastAsia="仿宋_GB2312" w:hAnsi="仿宋" w:cstheme="minorBidi" w:hint="eastAsia"/>
          <w:sz w:val="30"/>
          <w:szCs w:val="30"/>
          <w:vertAlign w:val="superscript"/>
        </w:rPr>
        <w:t>2</w:t>
      </w:r>
      <w:r w:rsidR="003E443E" w:rsidRPr="0029022F">
        <w:rPr>
          <w:rFonts w:ascii="仿宋_GB2312" w:eastAsia="仿宋_GB2312" w:hAnsi="仿宋" w:cstheme="minorBidi"/>
          <w:sz w:val="30"/>
          <w:szCs w:val="30"/>
        </w:rPr>
        <w:t>到</w:t>
      </w:r>
      <w:r w:rsidR="003E443E" w:rsidRPr="0029022F">
        <w:rPr>
          <w:rFonts w:ascii="仿宋_GB2312" w:eastAsia="仿宋_GB2312" w:hAnsi="仿宋" w:cstheme="minorBidi" w:hint="eastAsia"/>
          <w:sz w:val="30"/>
          <w:szCs w:val="30"/>
        </w:rPr>
        <w:t>4.0万m</w:t>
      </w:r>
      <w:r w:rsidR="003E443E" w:rsidRPr="00942798">
        <w:rPr>
          <w:rFonts w:ascii="仿宋_GB2312" w:eastAsia="仿宋_GB2312" w:hAnsi="仿宋" w:cstheme="minorBidi" w:hint="eastAsia"/>
          <w:sz w:val="30"/>
          <w:szCs w:val="30"/>
          <w:vertAlign w:val="superscript"/>
        </w:rPr>
        <w:t>2</w:t>
      </w:r>
      <w:r w:rsidR="003E443E" w:rsidRPr="0029022F">
        <w:rPr>
          <w:rFonts w:ascii="仿宋_GB2312" w:eastAsia="仿宋_GB2312" w:hAnsi="仿宋" w:cstheme="minorBidi" w:hint="eastAsia"/>
          <w:sz w:val="30"/>
          <w:szCs w:val="30"/>
        </w:rPr>
        <w:t>之间，</w:t>
      </w:r>
      <w:r w:rsidR="00DA04B3">
        <w:rPr>
          <w:rFonts w:ascii="仿宋_GB2312" w:eastAsia="仿宋_GB2312" w:hAnsi="仿宋" w:cstheme="minorBidi" w:hint="eastAsia"/>
          <w:sz w:val="30"/>
          <w:szCs w:val="30"/>
        </w:rPr>
        <w:t>为657栋，</w:t>
      </w:r>
      <w:r w:rsidR="003E443E" w:rsidRPr="0029022F">
        <w:rPr>
          <w:rFonts w:ascii="仿宋_GB2312" w:eastAsia="仿宋_GB2312" w:hAnsi="仿宋" w:cstheme="minorBidi" w:hint="eastAsia"/>
          <w:sz w:val="30"/>
          <w:szCs w:val="30"/>
        </w:rPr>
        <w:t>占</w:t>
      </w:r>
      <w:r w:rsidR="00FA2EE2" w:rsidRPr="0029022F">
        <w:rPr>
          <w:rFonts w:ascii="仿宋_GB2312" w:eastAsia="仿宋_GB2312" w:hAnsi="仿宋" w:cstheme="minorBidi" w:hint="eastAsia"/>
          <w:sz w:val="30"/>
          <w:szCs w:val="30"/>
        </w:rPr>
        <w:t>总量的</w:t>
      </w:r>
      <w:r w:rsidR="00FA2EE2" w:rsidRPr="0029022F">
        <w:rPr>
          <w:rFonts w:ascii="仿宋_GB2312" w:eastAsia="仿宋_GB2312" w:hAnsi="仿宋" w:cstheme="minorBidi"/>
          <w:sz w:val="30"/>
          <w:szCs w:val="30"/>
        </w:rPr>
        <w:t>44</w:t>
      </w:r>
      <w:r w:rsidR="003E443E" w:rsidRPr="0029022F">
        <w:rPr>
          <w:rFonts w:ascii="仿宋_GB2312" w:eastAsia="仿宋_GB2312" w:hAnsi="仿宋" w:cstheme="minorBidi" w:hint="eastAsia"/>
          <w:sz w:val="30"/>
          <w:szCs w:val="30"/>
        </w:rPr>
        <w:t>%</w:t>
      </w:r>
      <w:r w:rsidR="008F2065">
        <w:rPr>
          <w:rFonts w:ascii="仿宋_GB2312" w:eastAsia="仿宋_GB2312" w:hAnsi="仿宋" w:cstheme="minorBidi" w:hint="eastAsia"/>
          <w:sz w:val="30"/>
          <w:szCs w:val="30"/>
        </w:rPr>
        <w:t>；</w:t>
      </w:r>
      <w:r>
        <w:rPr>
          <w:rFonts w:ascii="仿宋_GB2312" w:eastAsia="仿宋_GB2312" w:hAnsi="仿宋" w:cstheme="minorBidi" w:hint="eastAsia"/>
          <w:sz w:val="30"/>
          <w:szCs w:val="30"/>
        </w:rPr>
        <w:t>建筑面积大于10.0万</w:t>
      </w:r>
      <w:r w:rsidRPr="0029022F">
        <w:rPr>
          <w:rFonts w:ascii="仿宋_GB2312" w:eastAsia="仿宋_GB2312" w:hAnsi="仿宋" w:cstheme="minorBidi" w:hint="eastAsia"/>
          <w:sz w:val="30"/>
          <w:szCs w:val="30"/>
        </w:rPr>
        <w:t>m</w:t>
      </w:r>
      <w:r w:rsidRPr="00942798">
        <w:rPr>
          <w:rFonts w:ascii="仿宋_GB2312" w:eastAsia="仿宋_GB2312" w:hAnsi="仿宋" w:cstheme="minorBidi" w:hint="eastAsia"/>
          <w:sz w:val="30"/>
          <w:szCs w:val="30"/>
          <w:vertAlign w:val="superscript"/>
        </w:rPr>
        <w:t>2</w:t>
      </w:r>
      <w:r>
        <w:rPr>
          <w:rFonts w:ascii="仿宋_GB2312" w:eastAsia="仿宋_GB2312" w:hAnsi="仿宋" w:cstheme="minorBidi" w:hint="eastAsia"/>
          <w:sz w:val="30"/>
          <w:szCs w:val="30"/>
        </w:rPr>
        <w:t>的超大型公共建筑为85栋，占总量的</w:t>
      </w:r>
      <w:r w:rsidR="009E14E2">
        <w:rPr>
          <w:rFonts w:ascii="仿宋_GB2312" w:eastAsia="仿宋_GB2312" w:hAnsi="仿宋" w:cstheme="minorBidi"/>
          <w:sz w:val="30"/>
          <w:szCs w:val="30"/>
        </w:rPr>
        <w:t>6</w:t>
      </w:r>
      <w:r>
        <w:rPr>
          <w:rFonts w:ascii="仿宋_GB2312" w:eastAsia="仿宋_GB2312" w:hAnsi="仿宋" w:cstheme="minorBidi" w:hint="eastAsia"/>
          <w:sz w:val="30"/>
          <w:szCs w:val="30"/>
        </w:rPr>
        <w:t>%。</w:t>
      </w:r>
      <w:r w:rsidR="003E443E" w:rsidRPr="0029022F">
        <w:rPr>
          <w:rFonts w:ascii="仿宋_GB2312" w:eastAsia="仿宋_GB2312" w:hAnsi="仿宋" w:cstheme="minorBidi" w:hint="eastAsia"/>
          <w:sz w:val="30"/>
          <w:szCs w:val="30"/>
        </w:rPr>
        <w:t>本市</w:t>
      </w:r>
      <w:r w:rsidR="00696491">
        <w:rPr>
          <w:rFonts w:ascii="仿宋_GB2312" w:eastAsia="仿宋_GB2312" w:hAnsi="仿宋" w:cstheme="minorBidi" w:hint="eastAsia"/>
          <w:sz w:val="30"/>
          <w:szCs w:val="30"/>
        </w:rPr>
        <w:t>能耗监测平台</w:t>
      </w:r>
      <w:r w:rsidR="008F2065">
        <w:rPr>
          <w:rFonts w:ascii="仿宋_GB2312" w:eastAsia="仿宋_GB2312" w:hAnsi="仿宋" w:cstheme="minorBidi" w:hint="eastAsia"/>
          <w:sz w:val="30"/>
          <w:szCs w:val="30"/>
        </w:rPr>
        <w:t>接入</w:t>
      </w:r>
      <w:r w:rsidR="003E443E" w:rsidRPr="0029022F">
        <w:rPr>
          <w:rFonts w:ascii="仿宋_GB2312" w:eastAsia="仿宋_GB2312" w:hAnsi="仿宋" w:cstheme="minorBidi" w:hint="eastAsia"/>
          <w:sz w:val="30"/>
          <w:szCs w:val="30"/>
        </w:rPr>
        <w:t>建筑面积分布情况如图</w:t>
      </w:r>
      <w:r w:rsidR="00FA2EE2" w:rsidRPr="0029022F">
        <w:rPr>
          <w:rFonts w:ascii="仿宋_GB2312" w:eastAsia="仿宋_GB2312" w:hAnsi="仿宋" w:cstheme="minorBidi" w:hint="eastAsia"/>
          <w:sz w:val="30"/>
          <w:szCs w:val="30"/>
        </w:rPr>
        <w:t>2</w:t>
      </w:r>
      <w:r w:rsidR="003E443E" w:rsidRPr="0029022F">
        <w:rPr>
          <w:rFonts w:ascii="仿宋_GB2312" w:eastAsia="仿宋_GB2312" w:hAnsi="仿宋" w:cstheme="minorBidi" w:hint="eastAsia"/>
          <w:sz w:val="30"/>
          <w:szCs w:val="30"/>
        </w:rPr>
        <w:t>所示。</w:t>
      </w:r>
    </w:p>
    <w:p w:rsidR="00DC21C2" w:rsidRDefault="003C5058" w:rsidP="00F6614D">
      <w:pPr>
        <w:spacing w:line="360" w:lineRule="auto"/>
        <w:jc w:val="center"/>
        <w:rPr>
          <w:rFonts w:ascii="仿宋_GB2312" w:eastAsia="仿宋_GB2312" w:hAnsi="仿宋" w:cstheme="minorBidi"/>
          <w:sz w:val="30"/>
          <w:szCs w:val="30"/>
        </w:rPr>
      </w:pPr>
      <w:r>
        <w:rPr>
          <w:noProof/>
        </w:rPr>
        <w:lastRenderedPageBreak/>
        <w:drawing>
          <wp:inline distT="0" distB="0" distL="0" distR="0">
            <wp:extent cx="5143500" cy="295636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375D" w:rsidRPr="004D58D1" w:rsidRDefault="0078375D" w:rsidP="00DB66EC">
      <w:pPr>
        <w:spacing w:afterLines="50"/>
        <w:jc w:val="center"/>
        <w:rPr>
          <w:rFonts w:ascii="Times New Roman" w:eastAsia="仿宋_GB2312" w:hAnsi="Times New Roman"/>
          <w:color w:val="000000" w:themeColor="text1"/>
          <w:sz w:val="24"/>
          <w:szCs w:val="24"/>
        </w:rPr>
      </w:pPr>
      <w:r w:rsidRPr="004D58D1">
        <w:rPr>
          <w:rFonts w:ascii="Times New Roman" w:eastAsia="仿宋_GB2312" w:hAnsi="Times New Roman" w:hint="eastAsia"/>
          <w:color w:val="000000" w:themeColor="text1"/>
          <w:sz w:val="24"/>
          <w:szCs w:val="24"/>
        </w:rPr>
        <w:t>图</w:t>
      </w:r>
      <w:r w:rsidR="00D83F81">
        <w:rPr>
          <w:rFonts w:ascii="Times New Roman" w:eastAsia="仿宋_GB2312" w:hAnsi="Times New Roman"/>
          <w:color w:val="000000" w:themeColor="text1"/>
          <w:sz w:val="24"/>
          <w:szCs w:val="24"/>
        </w:rPr>
        <w:t>2</w:t>
      </w:r>
      <w:r w:rsidRPr="004D58D1">
        <w:rPr>
          <w:rFonts w:ascii="Times New Roman" w:eastAsia="仿宋_GB2312" w:hAnsi="Times New Roman"/>
          <w:color w:val="000000" w:themeColor="text1"/>
          <w:sz w:val="24"/>
          <w:szCs w:val="24"/>
        </w:rPr>
        <w:t xml:space="preserve">  2016</w:t>
      </w:r>
      <w:r w:rsidR="00E83B74">
        <w:rPr>
          <w:rFonts w:ascii="Times New Roman" w:eastAsia="仿宋_GB2312" w:hAnsi="Times New Roman" w:hint="eastAsia"/>
          <w:color w:val="000000" w:themeColor="text1"/>
          <w:sz w:val="24"/>
          <w:szCs w:val="24"/>
        </w:rPr>
        <w:t>年</w:t>
      </w:r>
      <w:r w:rsidR="00696491">
        <w:rPr>
          <w:rFonts w:ascii="Times New Roman" w:eastAsia="仿宋_GB2312" w:hAnsi="Times New Roman" w:hint="eastAsia"/>
          <w:color w:val="000000" w:themeColor="text1"/>
          <w:sz w:val="24"/>
          <w:szCs w:val="24"/>
        </w:rPr>
        <w:t>能耗监测平台</w:t>
      </w:r>
      <w:r w:rsidR="008F2065">
        <w:rPr>
          <w:rFonts w:ascii="Times New Roman" w:eastAsia="仿宋_GB2312" w:hAnsi="Times New Roman" w:hint="eastAsia"/>
          <w:color w:val="000000" w:themeColor="text1"/>
          <w:sz w:val="24"/>
          <w:szCs w:val="24"/>
        </w:rPr>
        <w:t>接入</w:t>
      </w:r>
      <w:r w:rsidRPr="004D58D1">
        <w:rPr>
          <w:rFonts w:ascii="Times New Roman" w:eastAsia="仿宋_GB2312" w:hAnsi="Times New Roman" w:hint="eastAsia"/>
          <w:color w:val="000000" w:themeColor="text1"/>
          <w:sz w:val="24"/>
          <w:szCs w:val="24"/>
        </w:rPr>
        <w:t>建筑面积分布</w:t>
      </w:r>
      <w:r w:rsidR="00AA405F">
        <w:rPr>
          <w:rFonts w:ascii="Times New Roman" w:eastAsia="仿宋_GB2312" w:hAnsi="Times New Roman" w:hint="eastAsia"/>
          <w:color w:val="000000" w:themeColor="text1"/>
          <w:sz w:val="24"/>
          <w:szCs w:val="24"/>
        </w:rPr>
        <w:t>情况</w:t>
      </w:r>
    </w:p>
    <w:p w:rsidR="002E7D3C" w:rsidRDefault="00696491" w:rsidP="00DC21C2">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接入能耗监测平台</w:t>
      </w:r>
      <w:r w:rsidR="002E7D3C" w:rsidRPr="0029022F">
        <w:rPr>
          <w:rFonts w:ascii="仿宋_GB2312" w:eastAsia="仿宋_GB2312" w:hAnsi="仿宋" w:cstheme="minorBidi" w:hint="eastAsia"/>
          <w:sz w:val="30"/>
          <w:szCs w:val="30"/>
        </w:rPr>
        <w:t>的大型公共建筑</w:t>
      </w:r>
      <w:r w:rsidR="0046348B">
        <w:rPr>
          <w:rFonts w:ascii="仿宋_GB2312" w:eastAsia="仿宋_GB2312" w:hAnsi="仿宋" w:cstheme="minorBidi" w:hint="eastAsia"/>
          <w:sz w:val="30"/>
          <w:szCs w:val="30"/>
        </w:rPr>
        <w:t>总</w:t>
      </w:r>
      <w:r w:rsidR="002E7D3C" w:rsidRPr="0029022F">
        <w:rPr>
          <w:rFonts w:ascii="仿宋_GB2312" w:eastAsia="仿宋_GB2312" w:hAnsi="仿宋" w:cstheme="minorBidi" w:hint="eastAsia"/>
          <w:sz w:val="30"/>
          <w:szCs w:val="30"/>
        </w:rPr>
        <w:t>平均面积约为4.</w:t>
      </w:r>
      <w:r w:rsidR="005B22E4" w:rsidRPr="0029022F">
        <w:rPr>
          <w:rFonts w:ascii="仿宋_GB2312" w:eastAsia="仿宋_GB2312" w:hAnsi="仿宋" w:cstheme="minorBidi"/>
          <w:sz w:val="30"/>
          <w:szCs w:val="30"/>
        </w:rPr>
        <w:t>4</w:t>
      </w:r>
      <w:r w:rsidR="002E7D3C" w:rsidRPr="0029022F">
        <w:rPr>
          <w:rFonts w:ascii="仿宋_GB2312" w:eastAsia="仿宋_GB2312" w:hAnsi="仿宋" w:cstheme="minorBidi" w:hint="eastAsia"/>
          <w:sz w:val="30"/>
          <w:szCs w:val="30"/>
        </w:rPr>
        <w:t>万 m</w:t>
      </w:r>
      <w:r w:rsidR="002E7D3C" w:rsidRPr="0046348B">
        <w:rPr>
          <w:rFonts w:ascii="仿宋_GB2312" w:eastAsia="仿宋_GB2312" w:hAnsi="仿宋" w:cstheme="minorBidi" w:hint="eastAsia"/>
          <w:sz w:val="30"/>
          <w:szCs w:val="30"/>
          <w:vertAlign w:val="superscript"/>
        </w:rPr>
        <w:t>2</w:t>
      </w:r>
      <w:r w:rsidR="0046348B">
        <w:rPr>
          <w:rFonts w:ascii="仿宋_GB2312" w:eastAsia="仿宋_GB2312" w:hAnsi="仿宋" w:cstheme="minorBidi" w:hint="eastAsia"/>
          <w:sz w:val="30"/>
          <w:szCs w:val="30"/>
        </w:rPr>
        <w:t>，其中，</w:t>
      </w:r>
      <w:r w:rsidR="002E7D3C" w:rsidRPr="0029022F">
        <w:rPr>
          <w:rFonts w:ascii="仿宋_GB2312" w:eastAsia="仿宋_GB2312" w:hAnsi="仿宋" w:cstheme="minorBidi" w:hint="eastAsia"/>
          <w:sz w:val="30"/>
          <w:szCs w:val="30"/>
        </w:rPr>
        <w:t>综合建筑和商场建筑平均面积超过5.5万m</w:t>
      </w:r>
      <w:r w:rsidR="002E7D3C" w:rsidRPr="0046348B">
        <w:rPr>
          <w:rFonts w:ascii="仿宋_GB2312" w:eastAsia="仿宋_GB2312" w:hAnsi="仿宋" w:cstheme="minorBidi" w:hint="eastAsia"/>
          <w:sz w:val="30"/>
          <w:szCs w:val="30"/>
          <w:vertAlign w:val="superscript"/>
        </w:rPr>
        <w:t>2</w:t>
      </w:r>
      <w:r w:rsidR="00B4363B">
        <w:rPr>
          <w:rFonts w:ascii="仿宋_GB2312" w:eastAsia="仿宋_GB2312" w:hAnsi="仿宋" w:cstheme="minorBidi" w:hint="eastAsia"/>
          <w:sz w:val="30"/>
          <w:szCs w:val="30"/>
        </w:rPr>
        <w:t>；</w:t>
      </w:r>
      <w:r w:rsidR="005B22E4" w:rsidRPr="0029022F">
        <w:rPr>
          <w:rFonts w:ascii="仿宋_GB2312" w:eastAsia="仿宋_GB2312" w:hAnsi="仿宋" w:cstheme="minorBidi" w:hint="eastAsia"/>
          <w:sz w:val="30"/>
          <w:szCs w:val="30"/>
        </w:rPr>
        <w:t>办公建筑和旅游饭店建筑平均面积约4.3万m</w:t>
      </w:r>
      <w:r w:rsidR="005B22E4" w:rsidRPr="0046348B">
        <w:rPr>
          <w:rFonts w:ascii="仿宋_GB2312" w:eastAsia="仿宋_GB2312" w:hAnsi="仿宋" w:cstheme="minorBidi" w:hint="eastAsia"/>
          <w:sz w:val="30"/>
          <w:szCs w:val="30"/>
          <w:vertAlign w:val="superscript"/>
        </w:rPr>
        <w:t>2</w:t>
      </w:r>
      <w:r w:rsidR="00B4363B">
        <w:rPr>
          <w:rFonts w:ascii="仿宋_GB2312" w:eastAsia="仿宋_GB2312" w:hAnsi="仿宋" w:cstheme="minorBidi" w:hint="eastAsia"/>
          <w:sz w:val="30"/>
          <w:szCs w:val="30"/>
        </w:rPr>
        <w:t>；</w:t>
      </w:r>
      <w:r w:rsidR="0046348B">
        <w:rPr>
          <w:rFonts w:ascii="仿宋_GB2312" w:eastAsia="仿宋_GB2312" w:hAnsi="仿宋" w:cstheme="minorBidi" w:hint="eastAsia"/>
          <w:sz w:val="30"/>
          <w:szCs w:val="30"/>
        </w:rPr>
        <w:t>医疗</w:t>
      </w:r>
      <w:r w:rsidR="002E7D3C" w:rsidRPr="0029022F">
        <w:rPr>
          <w:rFonts w:ascii="仿宋_GB2312" w:eastAsia="仿宋_GB2312" w:hAnsi="仿宋" w:cstheme="minorBidi" w:hint="eastAsia"/>
          <w:sz w:val="30"/>
          <w:szCs w:val="30"/>
        </w:rPr>
        <w:t>卫生建筑、教育建筑、</w:t>
      </w:r>
      <w:r w:rsidR="005B22E4" w:rsidRPr="0029022F">
        <w:rPr>
          <w:rFonts w:ascii="仿宋_GB2312" w:eastAsia="仿宋_GB2312" w:hAnsi="仿宋" w:cstheme="minorBidi" w:hint="eastAsia"/>
          <w:sz w:val="30"/>
          <w:szCs w:val="30"/>
        </w:rPr>
        <w:t>文化建筑、</w:t>
      </w:r>
      <w:r w:rsidR="002E7D3C" w:rsidRPr="0029022F">
        <w:rPr>
          <w:rFonts w:ascii="仿宋_GB2312" w:eastAsia="仿宋_GB2312" w:hAnsi="仿宋" w:cstheme="minorBidi" w:hint="eastAsia"/>
          <w:sz w:val="30"/>
          <w:szCs w:val="30"/>
        </w:rPr>
        <w:t>体育建筑平均面积</w:t>
      </w:r>
      <w:r w:rsidR="005B22E4" w:rsidRPr="0029022F">
        <w:rPr>
          <w:rFonts w:ascii="仿宋_GB2312" w:eastAsia="仿宋_GB2312" w:hAnsi="仿宋" w:cstheme="minorBidi" w:hint="eastAsia"/>
          <w:sz w:val="30"/>
          <w:szCs w:val="30"/>
        </w:rPr>
        <w:t>在3</w:t>
      </w:r>
      <w:r w:rsidR="00E83B74">
        <w:rPr>
          <w:rFonts w:ascii="仿宋_GB2312" w:eastAsia="仿宋_GB2312" w:hAnsi="仿宋" w:cstheme="minorBidi"/>
          <w:sz w:val="30"/>
          <w:szCs w:val="30"/>
        </w:rPr>
        <w:t>.0</w:t>
      </w:r>
      <w:r w:rsidR="00E83B74">
        <w:rPr>
          <w:rFonts w:ascii="仿宋" w:eastAsia="仿宋" w:hAnsi="仿宋" w:cstheme="minorBidi" w:hint="eastAsia"/>
          <w:sz w:val="30"/>
          <w:szCs w:val="30"/>
        </w:rPr>
        <w:t>～</w:t>
      </w:r>
      <w:r w:rsidR="002E7D3C" w:rsidRPr="0029022F">
        <w:rPr>
          <w:rFonts w:ascii="仿宋_GB2312" w:eastAsia="仿宋_GB2312" w:hAnsi="仿宋" w:cstheme="minorBidi" w:hint="eastAsia"/>
          <w:sz w:val="30"/>
          <w:szCs w:val="30"/>
        </w:rPr>
        <w:t>4.0万m</w:t>
      </w:r>
      <w:r w:rsidR="002E7D3C" w:rsidRPr="0046348B">
        <w:rPr>
          <w:rFonts w:ascii="仿宋_GB2312" w:eastAsia="仿宋_GB2312" w:hAnsi="仿宋" w:cstheme="minorBidi" w:hint="eastAsia"/>
          <w:sz w:val="30"/>
          <w:szCs w:val="30"/>
          <w:vertAlign w:val="superscript"/>
        </w:rPr>
        <w:t>2</w:t>
      </w:r>
      <w:r w:rsidR="0046348B">
        <w:rPr>
          <w:rFonts w:ascii="仿宋_GB2312" w:eastAsia="仿宋_GB2312" w:hAnsi="仿宋" w:cstheme="minorBidi" w:hint="eastAsia"/>
          <w:sz w:val="30"/>
          <w:szCs w:val="30"/>
        </w:rPr>
        <w:t>之间</w:t>
      </w:r>
      <w:r w:rsidR="00B4363B">
        <w:rPr>
          <w:rFonts w:ascii="仿宋_GB2312" w:eastAsia="仿宋_GB2312" w:hAnsi="仿宋" w:cstheme="minorBidi" w:hint="eastAsia"/>
          <w:sz w:val="30"/>
          <w:szCs w:val="30"/>
        </w:rPr>
        <w:t>。</w:t>
      </w:r>
      <w:r w:rsidR="005B22E4" w:rsidRPr="0029022F">
        <w:rPr>
          <w:rFonts w:ascii="仿宋_GB2312" w:eastAsia="仿宋_GB2312" w:hAnsi="仿宋" w:cstheme="minorBidi" w:hint="eastAsia"/>
          <w:sz w:val="30"/>
          <w:szCs w:val="30"/>
        </w:rPr>
        <w:t>国家机关办公建筑体量最小，平均面积约为2.0万m</w:t>
      </w:r>
      <w:r w:rsidR="005B22E4" w:rsidRPr="0046348B">
        <w:rPr>
          <w:rFonts w:ascii="仿宋_GB2312" w:eastAsia="仿宋_GB2312" w:hAnsi="仿宋" w:cstheme="minorBidi" w:hint="eastAsia"/>
          <w:sz w:val="30"/>
          <w:szCs w:val="30"/>
          <w:vertAlign w:val="superscript"/>
        </w:rPr>
        <w:t>2</w:t>
      </w:r>
      <w:r w:rsidR="00B4363B">
        <w:rPr>
          <w:rFonts w:ascii="仿宋_GB2312" w:eastAsia="仿宋_GB2312" w:hAnsi="仿宋" w:cstheme="minorBidi" w:hint="eastAsia"/>
          <w:sz w:val="30"/>
          <w:szCs w:val="30"/>
        </w:rPr>
        <w:t>。</w:t>
      </w:r>
      <w:r w:rsidR="00AA405F">
        <w:rPr>
          <w:rFonts w:ascii="仿宋_GB2312" w:eastAsia="仿宋_GB2312" w:hAnsi="仿宋" w:cstheme="minorBidi" w:hint="eastAsia"/>
          <w:sz w:val="30"/>
          <w:szCs w:val="30"/>
        </w:rPr>
        <w:t>各类型建筑平均面积</w:t>
      </w:r>
      <w:r w:rsidR="0046348B">
        <w:rPr>
          <w:rFonts w:ascii="仿宋_GB2312" w:eastAsia="仿宋_GB2312" w:hAnsi="仿宋" w:cstheme="minorBidi" w:hint="eastAsia"/>
          <w:sz w:val="30"/>
          <w:szCs w:val="30"/>
        </w:rPr>
        <w:t>情况</w:t>
      </w:r>
      <w:r w:rsidR="002E7D3C" w:rsidRPr="0029022F">
        <w:rPr>
          <w:rFonts w:ascii="仿宋_GB2312" w:eastAsia="仿宋_GB2312" w:hAnsi="仿宋" w:cstheme="minorBidi" w:hint="eastAsia"/>
          <w:sz w:val="30"/>
          <w:szCs w:val="30"/>
        </w:rPr>
        <w:t>如图</w:t>
      </w:r>
      <w:r w:rsidR="005B22E4" w:rsidRPr="0029022F">
        <w:rPr>
          <w:rFonts w:ascii="仿宋_GB2312" w:eastAsia="仿宋_GB2312" w:hAnsi="仿宋" w:cstheme="minorBidi"/>
          <w:sz w:val="30"/>
          <w:szCs w:val="30"/>
        </w:rPr>
        <w:t>3</w:t>
      </w:r>
      <w:r w:rsidR="002E7D3C" w:rsidRPr="0029022F">
        <w:rPr>
          <w:rFonts w:ascii="仿宋_GB2312" w:eastAsia="仿宋_GB2312" w:hAnsi="仿宋" w:cstheme="minorBidi" w:hint="eastAsia"/>
          <w:sz w:val="30"/>
          <w:szCs w:val="30"/>
        </w:rPr>
        <w:t>所示。</w:t>
      </w:r>
    </w:p>
    <w:p w:rsidR="009C05E5" w:rsidRDefault="009C05E5" w:rsidP="009C05E5">
      <w:pPr>
        <w:jc w:val="center"/>
        <w:rPr>
          <w:rFonts w:ascii="仿宋_GB2312" w:eastAsia="仿宋_GB2312" w:hAnsi="仿宋" w:cstheme="minorBidi"/>
          <w:sz w:val="30"/>
          <w:szCs w:val="30"/>
        </w:rPr>
      </w:pPr>
      <w:r>
        <w:rPr>
          <w:noProof/>
        </w:rPr>
        <w:drawing>
          <wp:inline distT="0" distB="0" distL="0" distR="0">
            <wp:extent cx="5278120" cy="2654300"/>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22E4" w:rsidRPr="00DC21C2" w:rsidRDefault="005B22E4" w:rsidP="00DB66EC">
      <w:pPr>
        <w:spacing w:afterLines="50"/>
        <w:jc w:val="center"/>
        <w:rPr>
          <w:rFonts w:ascii="仿宋_GB2312" w:eastAsia="仿宋_GB2312" w:hAnsi="仿宋" w:cstheme="minorBidi"/>
          <w:sz w:val="30"/>
          <w:szCs w:val="30"/>
        </w:rPr>
      </w:pPr>
      <w:r w:rsidRPr="004D58D1">
        <w:rPr>
          <w:rFonts w:ascii="Times New Roman" w:eastAsia="仿宋_GB2312" w:hAnsi="Times New Roman" w:hint="eastAsia"/>
          <w:color w:val="000000" w:themeColor="text1"/>
          <w:sz w:val="24"/>
          <w:szCs w:val="24"/>
        </w:rPr>
        <w:t>图</w:t>
      </w:r>
      <w:r w:rsidRPr="004D58D1">
        <w:rPr>
          <w:rFonts w:ascii="Times New Roman" w:eastAsia="仿宋_GB2312" w:hAnsi="Times New Roman"/>
          <w:color w:val="000000" w:themeColor="text1"/>
          <w:sz w:val="24"/>
          <w:szCs w:val="24"/>
        </w:rPr>
        <w:t>3  2016</w:t>
      </w:r>
      <w:r w:rsidR="00465665">
        <w:rPr>
          <w:rFonts w:ascii="Times New Roman" w:eastAsia="仿宋_GB2312" w:hAnsi="Times New Roman" w:hint="eastAsia"/>
          <w:color w:val="000000" w:themeColor="text1"/>
          <w:sz w:val="24"/>
          <w:szCs w:val="24"/>
        </w:rPr>
        <w:t>年</w:t>
      </w:r>
      <w:r w:rsidR="00AA405F">
        <w:rPr>
          <w:rFonts w:ascii="Times New Roman" w:eastAsia="仿宋_GB2312" w:hAnsi="Times New Roman" w:hint="eastAsia"/>
          <w:color w:val="000000" w:themeColor="text1"/>
          <w:sz w:val="24"/>
          <w:szCs w:val="24"/>
        </w:rPr>
        <w:t>接入</w:t>
      </w:r>
      <w:r w:rsidR="00696491">
        <w:rPr>
          <w:rFonts w:ascii="Times New Roman" w:eastAsia="仿宋_GB2312" w:hAnsi="Times New Roman" w:hint="eastAsia"/>
          <w:color w:val="000000" w:themeColor="text1"/>
          <w:sz w:val="24"/>
          <w:szCs w:val="24"/>
        </w:rPr>
        <w:t>能耗监测平台</w:t>
      </w:r>
      <w:r w:rsidR="00AA405F">
        <w:rPr>
          <w:rFonts w:ascii="Times New Roman" w:eastAsia="仿宋_GB2312" w:hAnsi="Times New Roman" w:hint="eastAsia"/>
          <w:color w:val="000000" w:themeColor="text1"/>
          <w:sz w:val="24"/>
          <w:szCs w:val="24"/>
        </w:rPr>
        <w:t>各类型建筑平均面积情况</w:t>
      </w:r>
    </w:p>
    <w:p w:rsidR="005B22E4" w:rsidRPr="0029022F" w:rsidRDefault="005B22E4" w:rsidP="009A2E60">
      <w:pPr>
        <w:pStyle w:val="3"/>
        <w:spacing w:before="0" w:after="0" w:line="415" w:lineRule="auto"/>
        <w:rPr>
          <w:rFonts w:ascii="黑体" w:eastAsia="黑体" w:hAnsi="黑体" w:cstheme="minorBidi"/>
          <w:bCs w:val="0"/>
          <w:sz w:val="30"/>
          <w:szCs w:val="30"/>
        </w:rPr>
      </w:pPr>
      <w:bookmarkStart w:id="5" w:name="_Toc479752997"/>
      <w:r w:rsidRPr="0029022F">
        <w:rPr>
          <w:rFonts w:ascii="黑体" w:eastAsia="黑体" w:hAnsi="黑体" w:cstheme="minorBidi" w:hint="eastAsia"/>
          <w:bCs w:val="0"/>
          <w:sz w:val="30"/>
          <w:szCs w:val="30"/>
        </w:rPr>
        <w:lastRenderedPageBreak/>
        <w:t>2</w:t>
      </w:r>
      <w:r w:rsidR="00E83B74">
        <w:rPr>
          <w:rFonts w:ascii="黑体" w:eastAsia="黑体" w:hAnsi="黑体" w:cstheme="minorBidi" w:hint="eastAsia"/>
          <w:bCs w:val="0"/>
          <w:sz w:val="30"/>
          <w:szCs w:val="30"/>
        </w:rPr>
        <w:t>、</w:t>
      </w:r>
      <w:r w:rsidR="007D6E52">
        <w:rPr>
          <w:rFonts w:ascii="黑体" w:eastAsia="黑体" w:hAnsi="黑体" w:cstheme="minorBidi" w:hint="eastAsia"/>
          <w:bCs w:val="0"/>
          <w:sz w:val="30"/>
          <w:szCs w:val="30"/>
        </w:rPr>
        <w:t>年度</w:t>
      </w:r>
      <w:r w:rsidR="00CB6795">
        <w:rPr>
          <w:rFonts w:ascii="黑体" w:eastAsia="黑体" w:hAnsi="黑体" w:cstheme="minorBidi" w:hint="eastAsia"/>
          <w:bCs w:val="0"/>
          <w:sz w:val="30"/>
          <w:szCs w:val="30"/>
        </w:rPr>
        <w:t>总</w:t>
      </w:r>
      <w:r w:rsidR="007C1429" w:rsidRPr="0029022F">
        <w:rPr>
          <w:rFonts w:ascii="黑体" w:eastAsia="黑体" w:hAnsi="黑体" w:cstheme="minorBidi" w:hint="eastAsia"/>
          <w:bCs w:val="0"/>
          <w:sz w:val="30"/>
          <w:szCs w:val="30"/>
        </w:rPr>
        <w:t>用电量情况</w:t>
      </w:r>
      <w:bookmarkEnd w:id="5"/>
    </w:p>
    <w:p w:rsidR="007C1429" w:rsidRDefault="007C1429" w:rsidP="00B039DC">
      <w:pPr>
        <w:spacing w:line="360" w:lineRule="auto"/>
        <w:ind w:firstLineChars="200" w:firstLine="600"/>
        <w:rPr>
          <w:rFonts w:ascii="仿宋_GB2312" w:eastAsia="仿宋_GB2312" w:hAnsi="仿宋" w:cstheme="minorBidi"/>
          <w:sz w:val="30"/>
          <w:szCs w:val="30"/>
        </w:rPr>
      </w:pPr>
      <w:r w:rsidRPr="0029022F">
        <w:rPr>
          <w:rFonts w:ascii="仿宋_GB2312" w:eastAsia="仿宋_GB2312" w:hAnsi="仿宋" w:cstheme="minorBidi" w:hint="eastAsia"/>
          <w:sz w:val="30"/>
          <w:szCs w:val="30"/>
        </w:rPr>
        <w:t>2016</w:t>
      </w:r>
      <w:r w:rsidR="00E83B74">
        <w:rPr>
          <w:rFonts w:ascii="仿宋_GB2312" w:eastAsia="仿宋_GB2312" w:hAnsi="仿宋" w:cstheme="minorBidi" w:hint="eastAsia"/>
          <w:sz w:val="30"/>
          <w:szCs w:val="30"/>
        </w:rPr>
        <w:t>年，接</w:t>
      </w:r>
      <w:r w:rsidRPr="0029022F">
        <w:rPr>
          <w:rFonts w:ascii="仿宋_GB2312" w:eastAsia="仿宋_GB2312" w:hAnsi="仿宋" w:cstheme="minorBidi" w:hint="eastAsia"/>
          <w:sz w:val="30"/>
          <w:szCs w:val="30"/>
        </w:rPr>
        <w:t>入</w:t>
      </w:r>
      <w:r w:rsidR="00696491">
        <w:rPr>
          <w:rFonts w:ascii="仿宋_GB2312" w:eastAsia="仿宋_GB2312" w:hAnsi="仿宋" w:cstheme="minorBidi" w:hint="eastAsia"/>
          <w:sz w:val="30"/>
          <w:szCs w:val="30"/>
        </w:rPr>
        <w:t>能耗监测平台</w:t>
      </w:r>
      <w:r w:rsidR="008068F9">
        <w:rPr>
          <w:rFonts w:ascii="仿宋_GB2312" w:eastAsia="仿宋_GB2312" w:hAnsi="仿宋" w:cstheme="minorBidi" w:hint="eastAsia"/>
          <w:sz w:val="30"/>
          <w:szCs w:val="30"/>
        </w:rPr>
        <w:t>的公共</w:t>
      </w:r>
      <w:r w:rsidRPr="0029022F">
        <w:rPr>
          <w:rFonts w:ascii="仿宋_GB2312" w:eastAsia="仿宋_GB2312" w:hAnsi="仿宋" w:cstheme="minorBidi" w:hint="eastAsia"/>
          <w:sz w:val="30"/>
          <w:szCs w:val="30"/>
        </w:rPr>
        <w:t>建筑年总用电量</w:t>
      </w:r>
      <w:r w:rsidR="00B039DC" w:rsidRPr="0029022F">
        <w:rPr>
          <w:rFonts w:ascii="仿宋_GB2312" w:eastAsia="仿宋_GB2312" w:hAnsi="仿宋" w:cstheme="minorBidi" w:hint="eastAsia"/>
          <w:sz w:val="30"/>
          <w:szCs w:val="30"/>
        </w:rPr>
        <w:t>约</w:t>
      </w:r>
      <w:r w:rsidRPr="0029022F">
        <w:rPr>
          <w:rFonts w:ascii="仿宋_GB2312" w:eastAsia="仿宋_GB2312" w:hAnsi="仿宋" w:cstheme="minorBidi" w:hint="eastAsia"/>
          <w:sz w:val="30"/>
          <w:szCs w:val="30"/>
        </w:rPr>
        <w:t>为69.3</w:t>
      </w:r>
      <w:r w:rsidR="009B468E">
        <w:rPr>
          <w:rFonts w:ascii="仿宋_GB2312" w:eastAsia="仿宋_GB2312" w:hAnsi="仿宋" w:cstheme="minorBidi" w:hint="eastAsia"/>
          <w:sz w:val="30"/>
          <w:szCs w:val="30"/>
        </w:rPr>
        <w:t>亿kWh</w:t>
      </w:r>
      <w:r w:rsidRPr="0029022F">
        <w:rPr>
          <w:rFonts w:ascii="仿宋_GB2312" w:eastAsia="仿宋_GB2312" w:hAnsi="仿宋" w:cstheme="minorBidi" w:hint="eastAsia"/>
          <w:sz w:val="30"/>
          <w:szCs w:val="30"/>
        </w:rPr>
        <w:t>，</w:t>
      </w:r>
      <w:r w:rsidR="00B039DC" w:rsidRPr="0029022F">
        <w:rPr>
          <w:rFonts w:ascii="仿宋_GB2312" w:eastAsia="仿宋_GB2312" w:hAnsi="仿宋" w:cstheme="minorBidi" w:hint="eastAsia"/>
          <w:sz w:val="30"/>
          <w:szCs w:val="30"/>
        </w:rPr>
        <w:t>其中办公建筑、商场建筑、综合建筑与旅游饭店建筑</w:t>
      </w:r>
      <w:r w:rsidR="00E83B74">
        <w:rPr>
          <w:rFonts w:ascii="仿宋_GB2312" w:eastAsia="仿宋_GB2312" w:hAnsi="仿宋" w:cstheme="minorBidi" w:hint="eastAsia"/>
          <w:sz w:val="30"/>
          <w:szCs w:val="30"/>
        </w:rPr>
        <w:t>用电</w:t>
      </w:r>
      <w:r w:rsidR="00FC6714">
        <w:rPr>
          <w:rFonts w:ascii="仿宋_GB2312" w:eastAsia="仿宋_GB2312" w:hAnsi="仿宋" w:cstheme="minorBidi" w:hint="eastAsia"/>
          <w:sz w:val="30"/>
          <w:szCs w:val="30"/>
        </w:rPr>
        <w:t>总量</w:t>
      </w:r>
      <w:r w:rsidR="008068F9">
        <w:rPr>
          <w:rFonts w:ascii="仿宋_GB2312" w:eastAsia="仿宋_GB2312" w:hAnsi="仿宋" w:cstheme="minorBidi" w:hint="eastAsia"/>
          <w:sz w:val="30"/>
          <w:szCs w:val="30"/>
        </w:rPr>
        <w:t>较大</w:t>
      </w:r>
      <w:r w:rsidR="00030119">
        <w:rPr>
          <w:rFonts w:ascii="仿宋_GB2312" w:eastAsia="仿宋_GB2312" w:hAnsi="仿宋" w:cstheme="minorBidi" w:hint="eastAsia"/>
          <w:sz w:val="30"/>
          <w:szCs w:val="30"/>
        </w:rPr>
        <w:t>，四类建筑用电量占总量</w:t>
      </w:r>
      <w:r w:rsidR="00222897" w:rsidRPr="0029022F">
        <w:rPr>
          <w:rFonts w:ascii="仿宋_GB2312" w:eastAsia="仿宋_GB2312" w:hAnsi="仿宋" w:cstheme="minorBidi" w:hint="eastAsia"/>
          <w:sz w:val="30"/>
          <w:szCs w:val="30"/>
        </w:rPr>
        <w:t>的</w:t>
      </w:r>
      <w:r w:rsidR="009A2E60">
        <w:rPr>
          <w:rFonts w:ascii="仿宋_GB2312" w:eastAsia="仿宋_GB2312" w:hAnsi="仿宋" w:cstheme="minorBidi" w:hint="eastAsia"/>
          <w:sz w:val="30"/>
          <w:szCs w:val="30"/>
        </w:rPr>
        <w:t>85％</w:t>
      </w:r>
      <w:r w:rsidR="00222897" w:rsidRPr="0029022F">
        <w:rPr>
          <w:rFonts w:ascii="仿宋_GB2312" w:eastAsia="仿宋_GB2312" w:hAnsi="仿宋" w:cstheme="minorBidi" w:hint="eastAsia"/>
          <w:sz w:val="30"/>
          <w:szCs w:val="30"/>
        </w:rPr>
        <w:t>。各类型建筑年总用电量占比如图4</w:t>
      </w:r>
      <w:r w:rsidR="009A2E60">
        <w:rPr>
          <w:rFonts w:ascii="仿宋_GB2312" w:eastAsia="仿宋_GB2312" w:hAnsi="仿宋" w:cstheme="minorBidi" w:hint="eastAsia"/>
          <w:sz w:val="30"/>
          <w:szCs w:val="30"/>
        </w:rPr>
        <w:t>所示</w:t>
      </w:r>
      <w:r w:rsidR="009A2E60" w:rsidRPr="0029022F">
        <w:rPr>
          <w:rFonts w:ascii="仿宋_GB2312" w:eastAsia="仿宋_GB2312" w:hAnsi="仿宋" w:cstheme="minorBidi" w:hint="eastAsia"/>
          <w:sz w:val="30"/>
          <w:szCs w:val="30"/>
        </w:rPr>
        <w:t>。</w:t>
      </w:r>
    </w:p>
    <w:p w:rsidR="00680368" w:rsidRDefault="009C05E5" w:rsidP="00680368">
      <w:pPr>
        <w:spacing w:line="360" w:lineRule="auto"/>
        <w:jc w:val="center"/>
        <w:rPr>
          <w:rFonts w:ascii="仿宋_GB2312" w:eastAsia="仿宋_GB2312" w:hAnsi="仿宋" w:cstheme="minorBidi"/>
          <w:sz w:val="30"/>
          <w:szCs w:val="30"/>
        </w:rPr>
      </w:pPr>
      <w:r>
        <w:rPr>
          <w:noProof/>
        </w:rPr>
        <w:drawing>
          <wp:inline distT="0" distB="0" distL="0" distR="0">
            <wp:extent cx="4537075" cy="3108326"/>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2897" w:rsidRDefault="00222897" w:rsidP="00DB66EC">
      <w:pPr>
        <w:pStyle w:val="af9"/>
        <w:spacing w:afterLines="50"/>
        <w:jc w:val="center"/>
        <w:rPr>
          <w:rFonts w:ascii="Times New Roman" w:eastAsia="仿宋_GB2312" w:hAnsi="Times New Roman"/>
          <w:color w:val="000000" w:themeColor="text1"/>
          <w:sz w:val="24"/>
          <w:szCs w:val="24"/>
        </w:rPr>
      </w:pPr>
      <w:r w:rsidRPr="004D58D1">
        <w:rPr>
          <w:rFonts w:ascii="Times New Roman" w:eastAsia="仿宋_GB2312" w:hAnsi="Times New Roman" w:hint="eastAsia"/>
          <w:color w:val="000000" w:themeColor="text1"/>
          <w:sz w:val="24"/>
          <w:szCs w:val="24"/>
        </w:rPr>
        <w:t>图</w:t>
      </w:r>
      <w:r w:rsidRPr="004D58D1">
        <w:rPr>
          <w:rFonts w:ascii="Times New Roman" w:eastAsia="仿宋_GB2312" w:hAnsi="Times New Roman" w:hint="eastAsia"/>
          <w:color w:val="000000" w:themeColor="text1"/>
          <w:sz w:val="24"/>
          <w:szCs w:val="24"/>
        </w:rPr>
        <w:t>4</w:t>
      </w:r>
      <w:r w:rsidRPr="004D58D1">
        <w:rPr>
          <w:rFonts w:ascii="Times New Roman" w:eastAsia="仿宋_GB2312" w:hAnsi="Times New Roman"/>
          <w:color w:val="000000" w:themeColor="text1"/>
          <w:sz w:val="24"/>
          <w:szCs w:val="24"/>
        </w:rPr>
        <w:t xml:space="preserve">  2016</w:t>
      </w:r>
      <w:r w:rsidR="00465665">
        <w:rPr>
          <w:rFonts w:ascii="Times New Roman" w:eastAsia="仿宋_GB2312" w:hAnsi="Times New Roman" w:hint="eastAsia"/>
          <w:color w:val="000000" w:themeColor="text1"/>
          <w:sz w:val="24"/>
          <w:szCs w:val="24"/>
        </w:rPr>
        <w:t>年接入</w:t>
      </w:r>
      <w:r w:rsidR="00696491">
        <w:rPr>
          <w:rFonts w:ascii="Times New Roman" w:eastAsia="仿宋_GB2312" w:hAnsi="Times New Roman" w:hint="eastAsia"/>
          <w:color w:val="000000" w:themeColor="text1"/>
          <w:sz w:val="24"/>
          <w:szCs w:val="24"/>
        </w:rPr>
        <w:t>能耗监测平台</w:t>
      </w:r>
      <w:r w:rsidR="00F44291" w:rsidRPr="004D58D1">
        <w:rPr>
          <w:rFonts w:ascii="Times New Roman" w:eastAsia="仿宋_GB2312" w:hAnsi="Times New Roman" w:hint="eastAsia"/>
          <w:color w:val="000000" w:themeColor="text1"/>
          <w:sz w:val="24"/>
          <w:szCs w:val="24"/>
        </w:rPr>
        <w:t>建筑</w:t>
      </w:r>
      <w:r w:rsidR="00204F0B">
        <w:rPr>
          <w:rFonts w:ascii="Times New Roman" w:eastAsia="仿宋_GB2312" w:hAnsi="Times New Roman" w:hint="eastAsia"/>
          <w:color w:val="000000" w:themeColor="text1"/>
          <w:sz w:val="24"/>
          <w:szCs w:val="24"/>
        </w:rPr>
        <w:t>年总用电量占比情况</w:t>
      </w:r>
    </w:p>
    <w:p w:rsidR="00626D35" w:rsidRDefault="00F44291" w:rsidP="00F6614D">
      <w:pPr>
        <w:spacing w:line="360" w:lineRule="auto"/>
        <w:ind w:firstLineChars="200" w:firstLine="600"/>
        <w:rPr>
          <w:rFonts w:ascii="仿宋_GB2312" w:eastAsia="仿宋_GB2312" w:hAnsi="仿宋" w:cstheme="minorBidi"/>
          <w:sz w:val="30"/>
          <w:szCs w:val="30"/>
        </w:rPr>
      </w:pPr>
      <w:r w:rsidRPr="004D58D1">
        <w:rPr>
          <w:rFonts w:ascii="仿宋_GB2312" w:eastAsia="仿宋_GB2312" w:hAnsi="仿宋" w:cstheme="minorBidi" w:hint="eastAsia"/>
          <w:sz w:val="30"/>
          <w:szCs w:val="30"/>
        </w:rPr>
        <w:t>2</w:t>
      </w:r>
      <w:r w:rsidRPr="004D58D1">
        <w:rPr>
          <w:rFonts w:ascii="仿宋_GB2312" w:eastAsia="仿宋_GB2312" w:hAnsi="仿宋" w:cstheme="minorBidi"/>
          <w:sz w:val="30"/>
          <w:szCs w:val="30"/>
        </w:rPr>
        <w:t>016</w:t>
      </w:r>
      <w:r w:rsidR="00E83B74">
        <w:rPr>
          <w:rFonts w:ascii="仿宋_GB2312" w:eastAsia="仿宋_GB2312" w:hAnsi="仿宋" w:cstheme="minorBidi" w:hint="eastAsia"/>
          <w:sz w:val="30"/>
          <w:szCs w:val="30"/>
        </w:rPr>
        <w:t>年</w:t>
      </w:r>
      <w:r w:rsidR="00696491">
        <w:rPr>
          <w:rFonts w:ascii="仿宋_GB2312" w:eastAsia="仿宋_GB2312" w:hAnsi="仿宋" w:cstheme="minorBidi" w:hint="eastAsia"/>
          <w:sz w:val="30"/>
          <w:szCs w:val="30"/>
        </w:rPr>
        <w:t>，接入能耗监测平台</w:t>
      </w:r>
      <w:r w:rsidR="008068F9">
        <w:rPr>
          <w:rFonts w:ascii="仿宋_GB2312" w:eastAsia="仿宋_GB2312" w:hAnsi="仿宋" w:cstheme="minorBidi" w:hint="eastAsia"/>
          <w:sz w:val="30"/>
          <w:szCs w:val="30"/>
        </w:rPr>
        <w:t>的公共</w:t>
      </w:r>
      <w:r w:rsidR="00E83B74">
        <w:rPr>
          <w:rFonts w:ascii="仿宋_GB2312" w:eastAsia="仿宋_GB2312" w:hAnsi="仿宋" w:cstheme="minorBidi" w:hint="eastAsia"/>
          <w:sz w:val="30"/>
          <w:szCs w:val="30"/>
        </w:rPr>
        <w:t>建筑逐月用</w:t>
      </w:r>
      <w:r w:rsidRPr="004D58D1">
        <w:rPr>
          <w:rFonts w:ascii="仿宋_GB2312" w:eastAsia="仿宋_GB2312" w:hAnsi="仿宋" w:cstheme="minorBidi" w:hint="eastAsia"/>
          <w:sz w:val="30"/>
          <w:szCs w:val="30"/>
        </w:rPr>
        <w:t>电量如图5</w:t>
      </w:r>
      <w:r w:rsidR="00696491">
        <w:rPr>
          <w:rFonts w:ascii="仿宋_GB2312" w:eastAsia="仿宋_GB2312" w:hAnsi="仿宋" w:cstheme="minorBidi" w:hint="eastAsia"/>
          <w:sz w:val="30"/>
          <w:szCs w:val="30"/>
        </w:rPr>
        <w:t>所示。</w:t>
      </w:r>
      <w:r w:rsidR="00AA405F">
        <w:rPr>
          <w:rFonts w:ascii="仿宋_GB2312" w:eastAsia="仿宋_GB2312" w:hAnsi="仿宋" w:cstheme="minorBidi" w:hint="eastAsia"/>
          <w:sz w:val="30"/>
          <w:szCs w:val="30"/>
        </w:rPr>
        <w:t>从图中可以看出建筑</w:t>
      </w:r>
      <w:r w:rsidR="00D96438" w:rsidRPr="004D58D1">
        <w:rPr>
          <w:rFonts w:ascii="仿宋_GB2312" w:eastAsia="仿宋_GB2312" w:hAnsi="仿宋" w:cstheme="minorBidi" w:hint="eastAsia"/>
          <w:sz w:val="30"/>
          <w:szCs w:val="30"/>
        </w:rPr>
        <w:t>逐月</w:t>
      </w:r>
      <w:r w:rsidR="00A362EB" w:rsidRPr="004D58D1">
        <w:rPr>
          <w:rFonts w:ascii="仿宋_GB2312" w:eastAsia="仿宋_GB2312" w:hAnsi="仿宋" w:cstheme="minorBidi" w:hint="eastAsia"/>
          <w:sz w:val="30"/>
          <w:szCs w:val="30"/>
        </w:rPr>
        <w:t>用电</w:t>
      </w:r>
      <w:r w:rsidR="00D96438" w:rsidRPr="004D58D1">
        <w:rPr>
          <w:rFonts w:ascii="仿宋_GB2312" w:eastAsia="仿宋_GB2312" w:hAnsi="仿宋" w:cstheme="minorBidi" w:hint="eastAsia"/>
          <w:sz w:val="30"/>
          <w:szCs w:val="30"/>
        </w:rPr>
        <w:t>变化</w:t>
      </w:r>
      <w:r w:rsidR="00A362EB" w:rsidRPr="004D58D1">
        <w:rPr>
          <w:rFonts w:ascii="仿宋_GB2312" w:eastAsia="仿宋_GB2312" w:hAnsi="仿宋" w:cstheme="minorBidi" w:hint="eastAsia"/>
          <w:sz w:val="30"/>
          <w:szCs w:val="30"/>
        </w:rPr>
        <w:t>情况与气温变化趋势相符</w:t>
      </w:r>
      <w:r w:rsidR="00696491">
        <w:rPr>
          <w:rFonts w:ascii="仿宋_GB2312" w:eastAsia="仿宋_GB2312" w:hAnsi="仿宋" w:cstheme="minorBidi" w:hint="eastAsia"/>
          <w:sz w:val="30"/>
          <w:szCs w:val="30"/>
        </w:rPr>
        <w:t>，夏季随着</w:t>
      </w:r>
      <w:r w:rsidR="00AA405F">
        <w:rPr>
          <w:rFonts w:ascii="仿宋_GB2312" w:eastAsia="仿宋_GB2312" w:hAnsi="仿宋" w:cstheme="minorBidi" w:hint="eastAsia"/>
          <w:sz w:val="30"/>
          <w:szCs w:val="30"/>
        </w:rPr>
        <w:t>气温不断</w:t>
      </w:r>
      <w:r w:rsidR="00696491">
        <w:rPr>
          <w:rFonts w:ascii="仿宋_GB2312" w:eastAsia="仿宋_GB2312" w:hAnsi="仿宋" w:cstheme="minorBidi" w:hint="eastAsia"/>
          <w:sz w:val="30"/>
          <w:szCs w:val="30"/>
        </w:rPr>
        <w:t>升高，空调</w:t>
      </w:r>
      <w:r w:rsidR="00AA405F">
        <w:rPr>
          <w:rFonts w:ascii="仿宋_GB2312" w:eastAsia="仿宋_GB2312" w:hAnsi="仿宋" w:cstheme="minorBidi" w:hint="eastAsia"/>
          <w:sz w:val="30"/>
          <w:szCs w:val="30"/>
        </w:rPr>
        <w:t>制冷需求</w:t>
      </w:r>
      <w:r w:rsidR="00696491">
        <w:rPr>
          <w:rFonts w:ascii="仿宋_GB2312" w:eastAsia="仿宋_GB2312" w:hAnsi="仿宋" w:cstheme="minorBidi" w:hint="eastAsia"/>
          <w:sz w:val="30"/>
          <w:szCs w:val="30"/>
        </w:rPr>
        <w:t>逐渐增大，导致用电量</w:t>
      </w:r>
      <w:r w:rsidR="00AA405F">
        <w:rPr>
          <w:rFonts w:ascii="仿宋_GB2312" w:eastAsia="仿宋_GB2312" w:hAnsi="仿宋" w:cstheme="minorBidi" w:hint="eastAsia"/>
          <w:sz w:val="30"/>
          <w:szCs w:val="30"/>
        </w:rPr>
        <w:t>也逐渐增加</w:t>
      </w:r>
      <w:r w:rsidR="00696491">
        <w:rPr>
          <w:rFonts w:ascii="仿宋_GB2312" w:eastAsia="仿宋_GB2312" w:hAnsi="仿宋" w:cstheme="minorBidi" w:hint="eastAsia"/>
          <w:sz w:val="30"/>
          <w:szCs w:val="30"/>
        </w:rPr>
        <w:t>，在温度最高的七、八月建筑用电量</w:t>
      </w:r>
      <w:r w:rsidR="00AA405F">
        <w:rPr>
          <w:rFonts w:ascii="仿宋_GB2312" w:eastAsia="仿宋_GB2312" w:hAnsi="仿宋" w:cstheme="minorBidi" w:hint="eastAsia"/>
          <w:sz w:val="30"/>
          <w:szCs w:val="30"/>
        </w:rPr>
        <w:t>也</w:t>
      </w:r>
      <w:r w:rsidR="00696491">
        <w:rPr>
          <w:rFonts w:ascii="仿宋_GB2312" w:eastAsia="仿宋_GB2312" w:hAnsi="仿宋" w:cstheme="minorBidi" w:hint="eastAsia"/>
          <w:sz w:val="30"/>
          <w:szCs w:val="30"/>
        </w:rPr>
        <w:t>达到了</w:t>
      </w:r>
      <w:r w:rsidR="007D6E52">
        <w:rPr>
          <w:rFonts w:ascii="仿宋_GB2312" w:eastAsia="仿宋_GB2312" w:hAnsi="仿宋" w:cstheme="minorBidi" w:hint="eastAsia"/>
          <w:sz w:val="30"/>
          <w:szCs w:val="30"/>
        </w:rPr>
        <w:t>夏季的</w:t>
      </w:r>
      <w:r w:rsidR="00696491">
        <w:rPr>
          <w:rFonts w:ascii="仿宋_GB2312" w:eastAsia="仿宋_GB2312" w:hAnsi="仿宋" w:cstheme="minorBidi" w:hint="eastAsia"/>
          <w:sz w:val="30"/>
          <w:szCs w:val="30"/>
        </w:rPr>
        <w:t>最高；冬季随着</w:t>
      </w:r>
      <w:r w:rsidR="00AA405F">
        <w:rPr>
          <w:rFonts w:ascii="仿宋_GB2312" w:eastAsia="仿宋_GB2312" w:hAnsi="仿宋" w:cstheme="minorBidi" w:hint="eastAsia"/>
          <w:sz w:val="30"/>
          <w:szCs w:val="30"/>
        </w:rPr>
        <w:t>气温不断降低，空调采暖需求逐渐增大，导致用电量也逐渐增加，在温度最低的一月建筑用电量也达到</w:t>
      </w:r>
      <w:r w:rsidR="00E83B74">
        <w:rPr>
          <w:rFonts w:ascii="仿宋_GB2312" w:eastAsia="仿宋_GB2312" w:hAnsi="仿宋" w:cstheme="minorBidi" w:hint="eastAsia"/>
          <w:sz w:val="30"/>
          <w:szCs w:val="30"/>
        </w:rPr>
        <w:t>冬季的</w:t>
      </w:r>
      <w:r w:rsidR="00AA405F">
        <w:rPr>
          <w:rFonts w:ascii="仿宋_GB2312" w:eastAsia="仿宋_GB2312" w:hAnsi="仿宋" w:cstheme="minorBidi" w:hint="eastAsia"/>
          <w:sz w:val="30"/>
          <w:szCs w:val="30"/>
        </w:rPr>
        <w:t>最高</w:t>
      </w:r>
      <w:r w:rsidR="00D96438" w:rsidRPr="004D58D1">
        <w:rPr>
          <w:rFonts w:ascii="仿宋_GB2312" w:eastAsia="仿宋_GB2312" w:hAnsi="仿宋" w:cstheme="minorBidi" w:hint="eastAsia"/>
          <w:sz w:val="30"/>
          <w:szCs w:val="30"/>
        </w:rPr>
        <w:t>。</w:t>
      </w:r>
    </w:p>
    <w:p w:rsidR="00096FD6" w:rsidRDefault="00096FD6" w:rsidP="00096FD6">
      <w:pPr>
        <w:spacing w:line="360" w:lineRule="auto"/>
        <w:jc w:val="center"/>
        <w:rPr>
          <w:rFonts w:ascii="仿宋_GB2312" w:eastAsia="仿宋_GB2312" w:hAnsi="仿宋" w:cstheme="minorBidi"/>
          <w:sz w:val="30"/>
          <w:szCs w:val="30"/>
        </w:rPr>
      </w:pPr>
      <w:r>
        <w:rPr>
          <w:noProof/>
        </w:rPr>
        <w:lastRenderedPageBreak/>
        <w:drawing>
          <wp:inline distT="0" distB="0" distL="0" distR="0">
            <wp:extent cx="5200153" cy="2743200"/>
            <wp:effectExtent l="0" t="0" r="63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44291" w:rsidRPr="004D58D1" w:rsidRDefault="00F44291" w:rsidP="00DB66EC">
      <w:pPr>
        <w:spacing w:afterLines="50" w:line="360" w:lineRule="auto"/>
        <w:jc w:val="center"/>
        <w:rPr>
          <w:rFonts w:ascii="Times New Roman" w:eastAsia="仿宋_GB2312" w:hAnsi="Times New Roman" w:cstheme="majorBidi"/>
          <w:color w:val="000000" w:themeColor="text1"/>
          <w:sz w:val="24"/>
          <w:szCs w:val="24"/>
        </w:rPr>
      </w:pPr>
      <w:r w:rsidRPr="004D58D1">
        <w:rPr>
          <w:rFonts w:ascii="Times New Roman" w:eastAsia="仿宋_GB2312" w:hAnsi="Times New Roman" w:cstheme="majorBidi" w:hint="eastAsia"/>
          <w:color w:val="000000" w:themeColor="text1"/>
          <w:sz w:val="24"/>
          <w:szCs w:val="24"/>
        </w:rPr>
        <w:t>图</w:t>
      </w:r>
      <w:r w:rsidRPr="004D58D1">
        <w:rPr>
          <w:rFonts w:ascii="Times New Roman" w:eastAsia="仿宋_GB2312" w:hAnsi="Times New Roman" w:cstheme="majorBidi" w:hint="eastAsia"/>
          <w:color w:val="000000" w:themeColor="text1"/>
          <w:sz w:val="24"/>
          <w:szCs w:val="24"/>
        </w:rPr>
        <w:t>5</w:t>
      </w:r>
      <w:r w:rsidRPr="004D58D1">
        <w:rPr>
          <w:rFonts w:ascii="Times New Roman" w:eastAsia="仿宋_GB2312" w:hAnsi="Times New Roman" w:cstheme="majorBidi"/>
          <w:color w:val="000000" w:themeColor="text1"/>
          <w:sz w:val="24"/>
          <w:szCs w:val="24"/>
        </w:rPr>
        <w:t xml:space="preserve">  2016</w:t>
      </w:r>
      <w:r w:rsidR="00465665">
        <w:rPr>
          <w:rFonts w:ascii="Times New Roman" w:eastAsia="仿宋_GB2312" w:hAnsi="Times New Roman" w:cstheme="majorBidi" w:hint="eastAsia"/>
          <w:color w:val="000000" w:themeColor="text1"/>
          <w:sz w:val="24"/>
          <w:szCs w:val="24"/>
        </w:rPr>
        <w:t>年接入</w:t>
      </w:r>
      <w:r w:rsidR="00696491">
        <w:rPr>
          <w:rFonts w:ascii="Times New Roman" w:eastAsia="仿宋_GB2312" w:hAnsi="Times New Roman" w:cstheme="majorBidi" w:hint="eastAsia"/>
          <w:color w:val="000000" w:themeColor="text1"/>
          <w:sz w:val="24"/>
          <w:szCs w:val="24"/>
        </w:rPr>
        <w:t>能耗监测平台</w:t>
      </w:r>
      <w:r w:rsidR="0029572F" w:rsidRPr="004D58D1">
        <w:rPr>
          <w:rFonts w:ascii="Times New Roman" w:eastAsia="仿宋_GB2312" w:hAnsi="Times New Roman" w:cstheme="majorBidi" w:hint="eastAsia"/>
          <w:color w:val="000000" w:themeColor="text1"/>
          <w:sz w:val="24"/>
          <w:szCs w:val="24"/>
        </w:rPr>
        <w:t>建筑</w:t>
      </w:r>
      <w:r w:rsidRPr="004D58D1">
        <w:rPr>
          <w:rFonts w:ascii="Times New Roman" w:eastAsia="仿宋_GB2312" w:hAnsi="Times New Roman" w:cstheme="majorBidi" w:hint="eastAsia"/>
          <w:color w:val="000000" w:themeColor="text1"/>
          <w:sz w:val="24"/>
          <w:szCs w:val="24"/>
        </w:rPr>
        <w:t>逐月用电量</w:t>
      </w:r>
    </w:p>
    <w:p w:rsidR="007C1429" w:rsidRPr="0029022F" w:rsidRDefault="007C1429" w:rsidP="009A2E60">
      <w:pPr>
        <w:pStyle w:val="3"/>
        <w:spacing w:before="0" w:after="0" w:line="415" w:lineRule="auto"/>
        <w:rPr>
          <w:rFonts w:ascii="黑体" w:eastAsia="黑体" w:hAnsi="黑体" w:cstheme="minorBidi"/>
          <w:bCs w:val="0"/>
          <w:sz w:val="30"/>
          <w:szCs w:val="30"/>
        </w:rPr>
      </w:pPr>
      <w:bookmarkStart w:id="6" w:name="_Toc479752998"/>
      <w:r w:rsidRPr="0029022F">
        <w:rPr>
          <w:rFonts w:ascii="黑体" w:eastAsia="黑体" w:hAnsi="黑体" w:cstheme="minorBidi" w:hint="eastAsia"/>
          <w:bCs w:val="0"/>
          <w:sz w:val="30"/>
          <w:szCs w:val="30"/>
        </w:rPr>
        <w:t>3</w:t>
      </w:r>
      <w:r w:rsidR="00F44291" w:rsidRPr="0029022F">
        <w:rPr>
          <w:rFonts w:ascii="黑体" w:eastAsia="黑体" w:hAnsi="黑体" w:cstheme="minorBidi" w:hint="eastAsia"/>
          <w:bCs w:val="0"/>
          <w:sz w:val="30"/>
          <w:szCs w:val="30"/>
        </w:rPr>
        <w:t>、历年用电量</w:t>
      </w:r>
      <w:r w:rsidR="00CB6795">
        <w:rPr>
          <w:rFonts w:ascii="黑体" w:eastAsia="黑体" w:hAnsi="黑体" w:cstheme="minorBidi" w:hint="eastAsia"/>
          <w:bCs w:val="0"/>
          <w:sz w:val="30"/>
          <w:szCs w:val="30"/>
        </w:rPr>
        <w:t>变化</w:t>
      </w:r>
      <w:r w:rsidR="00F44291" w:rsidRPr="0029022F">
        <w:rPr>
          <w:rFonts w:ascii="黑体" w:eastAsia="黑体" w:hAnsi="黑体" w:cstheme="minorBidi" w:hint="eastAsia"/>
          <w:bCs w:val="0"/>
          <w:sz w:val="30"/>
          <w:szCs w:val="30"/>
        </w:rPr>
        <w:t>情况</w:t>
      </w:r>
      <w:bookmarkEnd w:id="6"/>
    </w:p>
    <w:p w:rsidR="005F0786" w:rsidRDefault="00F44291" w:rsidP="00DB66EC">
      <w:pPr>
        <w:spacing w:afterLines="50" w:line="360" w:lineRule="auto"/>
        <w:ind w:firstLineChars="200" w:firstLine="600"/>
        <w:rPr>
          <w:rFonts w:ascii="仿宋_GB2312" w:eastAsia="仿宋_GB2312" w:hAnsi="仿宋" w:cstheme="minorBidi"/>
          <w:sz w:val="30"/>
          <w:szCs w:val="30"/>
        </w:rPr>
      </w:pPr>
      <w:r w:rsidRPr="0029022F">
        <w:rPr>
          <w:rFonts w:ascii="仿宋_GB2312" w:eastAsia="仿宋_GB2312" w:hAnsi="仿宋" w:cstheme="minorBidi" w:hint="eastAsia"/>
          <w:sz w:val="30"/>
          <w:szCs w:val="30"/>
        </w:rPr>
        <w:t>2014年至2016</w:t>
      </w:r>
      <w:r w:rsidR="009A2E60">
        <w:rPr>
          <w:rFonts w:ascii="仿宋_GB2312" w:eastAsia="仿宋_GB2312" w:hAnsi="仿宋" w:cstheme="minorBidi" w:hint="eastAsia"/>
          <w:sz w:val="30"/>
          <w:szCs w:val="30"/>
        </w:rPr>
        <w:t>年，</w:t>
      </w:r>
      <w:r w:rsidR="009B468E">
        <w:rPr>
          <w:rFonts w:ascii="仿宋_GB2312" w:eastAsia="仿宋_GB2312" w:hAnsi="仿宋" w:cstheme="minorBidi" w:hint="eastAsia"/>
          <w:sz w:val="30"/>
          <w:szCs w:val="30"/>
        </w:rPr>
        <w:t>接入</w:t>
      </w:r>
      <w:r w:rsidR="00696491">
        <w:rPr>
          <w:rFonts w:ascii="仿宋_GB2312" w:eastAsia="仿宋_GB2312" w:hAnsi="仿宋" w:cstheme="minorBidi" w:hint="eastAsia"/>
          <w:sz w:val="30"/>
          <w:szCs w:val="30"/>
        </w:rPr>
        <w:t>能耗监测平台</w:t>
      </w:r>
      <w:r w:rsidR="009A2E60">
        <w:rPr>
          <w:rFonts w:ascii="仿宋_GB2312" w:eastAsia="仿宋_GB2312" w:hAnsi="仿宋" w:cstheme="minorBidi" w:hint="eastAsia"/>
          <w:sz w:val="30"/>
          <w:szCs w:val="30"/>
        </w:rPr>
        <w:t>建筑总面积增幅约</w:t>
      </w:r>
      <w:r w:rsidR="00DA04B3">
        <w:rPr>
          <w:rFonts w:ascii="仿宋_GB2312" w:eastAsia="仿宋_GB2312" w:hAnsi="仿宋" w:cstheme="minorBidi" w:hint="eastAsia"/>
          <w:sz w:val="30"/>
          <w:szCs w:val="30"/>
        </w:rPr>
        <w:t>为</w:t>
      </w:r>
      <w:r w:rsidR="009A2E60">
        <w:rPr>
          <w:rFonts w:ascii="仿宋_GB2312" w:eastAsia="仿宋_GB2312" w:hAnsi="仿宋" w:cstheme="minorBidi" w:hint="eastAsia"/>
          <w:sz w:val="30"/>
          <w:szCs w:val="30"/>
        </w:rPr>
        <w:t>54％，年</w:t>
      </w:r>
      <w:r w:rsidR="007D6E52">
        <w:rPr>
          <w:rFonts w:ascii="仿宋_GB2312" w:eastAsia="仿宋_GB2312" w:hAnsi="仿宋" w:cstheme="minorBidi" w:hint="eastAsia"/>
          <w:sz w:val="30"/>
          <w:szCs w:val="30"/>
        </w:rPr>
        <w:t>总</w:t>
      </w:r>
      <w:r w:rsidR="009A2E60">
        <w:rPr>
          <w:rFonts w:ascii="仿宋_GB2312" w:eastAsia="仿宋_GB2312" w:hAnsi="仿宋" w:cstheme="minorBidi" w:hint="eastAsia"/>
          <w:sz w:val="30"/>
          <w:szCs w:val="30"/>
        </w:rPr>
        <w:t>用电量增幅约</w:t>
      </w:r>
      <w:r w:rsidR="00DA04B3">
        <w:rPr>
          <w:rFonts w:ascii="仿宋_GB2312" w:eastAsia="仿宋_GB2312" w:hAnsi="仿宋" w:cstheme="minorBidi" w:hint="eastAsia"/>
          <w:sz w:val="30"/>
          <w:szCs w:val="30"/>
        </w:rPr>
        <w:t>为</w:t>
      </w:r>
      <w:r w:rsidR="009A2E60">
        <w:rPr>
          <w:rFonts w:ascii="仿宋_GB2312" w:eastAsia="仿宋_GB2312" w:hAnsi="仿宋" w:cstheme="minorBidi" w:hint="eastAsia"/>
          <w:sz w:val="30"/>
          <w:szCs w:val="30"/>
        </w:rPr>
        <w:t>57.1％</w:t>
      </w:r>
      <w:r w:rsidR="00B44A5A">
        <w:rPr>
          <w:rFonts w:ascii="仿宋_GB2312" w:eastAsia="仿宋_GB2312" w:hAnsi="仿宋" w:cstheme="minorBidi" w:hint="eastAsia"/>
          <w:sz w:val="30"/>
          <w:szCs w:val="30"/>
        </w:rPr>
        <w:t>。</w:t>
      </w:r>
      <w:r w:rsidR="009B468E">
        <w:rPr>
          <w:rFonts w:ascii="仿宋_GB2312" w:eastAsia="仿宋_GB2312" w:hAnsi="仿宋" w:cstheme="minorBidi" w:hint="eastAsia"/>
          <w:sz w:val="30"/>
          <w:szCs w:val="30"/>
        </w:rPr>
        <w:t>历年能耗监测平台</w:t>
      </w:r>
      <w:r w:rsidR="009B468E" w:rsidRPr="0029022F">
        <w:rPr>
          <w:rFonts w:ascii="仿宋_GB2312" w:eastAsia="仿宋_GB2312" w:hAnsi="仿宋" w:cstheme="minorBidi" w:hint="eastAsia"/>
          <w:sz w:val="30"/>
          <w:szCs w:val="30"/>
        </w:rPr>
        <w:t>建筑年总用电</w:t>
      </w:r>
      <w:r w:rsidR="009B468E">
        <w:rPr>
          <w:rFonts w:ascii="仿宋_GB2312" w:eastAsia="仿宋_GB2312" w:hAnsi="仿宋" w:cstheme="minorBidi" w:hint="eastAsia"/>
          <w:sz w:val="30"/>
          <w:szCs w:val="30"/>
        </w:rPr>
        <w:t>量变化</w:t>
      </w:r>
      <w:r w:rsidR="009B468E" w:rsidRPr="0029022F">
        <w:rPr>
          <w:rFonts w:ascii="仿宋_GB2312" w:eastAsia="仿宋_GB2312" w:hAnsi="仿宋" w:cstheme="minorBidi" w:hint="eastAsia"/>
          <w:sz w:val="30"/>
          <w:szCs w:val="30"/>
        </w:rPr>
        <w:t>情况如图6所示。</w:t>
      </w:r>
    </w:p>
    <w:p w:rsidR="00626D35" w:rsidRDefault="00636D9D" w:rsidP="00626D35">
      <w:pPr>
        <w:spacing w:line="360" w:lineRule="auto"/>
        <w:jc w:val="center"/>
        <w:rPr>
          <w:rFonts w:ascii="仿宋_GB2312" w:eastAsia="仿宋_GB2312" w:hAnsi="仿宋" w:cstheme="minorBidi"/>
          <w:sz w:val="30"/>
          <w:szCs w:val="30"/>
        </w:rPr>
      </w:pPr>
      <w:r>
        <w:rPr>
          <w:noProof/>
        </w:rPr>
        <w:drawing>
          <wp:inline distT="0" distB="0" distL="0" distR="0">
            <wp:extent cx="4572000" cy="23622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F0786" w:rsidRDefault="0029572F" w:rsidP="00DB66EC">
      <w:pPr>
        <w:spacing w:afterLines="50" w:line="360" w:lineRule="auto"/>
        <w:ind w:firstLineChars="200" w:firstLine="480"/>
        <w:rPr>
          <w:rFonts w:ascii="Times New Roman" w:eastAsia="仿宋_GB2312" w:hAnsi="Times New Roman" w:cstheme="majorBidi"/>
          <w:color w:val="000000" w:themeColor="text1"/>
          <w:sz w:val="24"/>
          <w:szCs w:val="24"/>
        </w:rPr>
      </w:pPr>
      <w:r w:rsidRPr="004D58D1">
        <w:rPr>
          <w:rFonts w:ascii="Times New Roman" w:eastAsia="仿宋_GB2312" w:hAnsi="Times New Roman" w:cstheme="majorBidi" w:hint="eastAsia"/>
          <w:color w:val="000000" w:themeColor="text1"/>
          <w:sz w:val="24"/>
          <w:szCs w:val="24"/>
        </w:rPr>
        <w:t>图</w:t>
      </w:r>
      <w:r w:rsidRPr="004D58D1">
        <w:rPr>
          <w:rFonts w:ascii="Times New Roman" w:eastAsia="仿宋_GB2312" w:hAnsi="Times New Roman" w:cstheme="majorBidi" w:hint="eastAsia"/>
          <w:color w:val="000000" w:themeColor="text1"/>
          <w:sz w:val="24"/>
          <w:szCs w:val="24"/>
        </w:rPr>
        <w:t>6</w:t>
      </w:r>
      <w:r w:rsidR="00DA04B3">
        <w:rPr>
          <w:rFonts w:ascii="Times New Roman" w:eastAsia="仿宋_GB2312" w:hAnsi="Times New Roman" w:cstheme="majorBidi" w:hint="eastAsia"/>
          <w:color w:val="000000" w:themeColor="text1"/>
          <w:sz w:val="24"/>
          <w:szCs w:val="24"/>
        </w:rPr>
        <w:t>2014</w:t>
      </w:r>
      <w:r w:rsidR="00DA04B3">
        <w:rPr>
          <w:rFonts w:ascii="Times New Roman" w:eastAsia="仿宋_GB2312" w:hAnsi="Times New Roman" w:cstheme="majorBidi"/>
          <w:color w:val="000000" w:themeColor="text1"/>
          <w:sz w:val="24"/>
          <w:szCs w:val="24"/>
        </w:rPr>
        <w:t>~2016</w:t>
      </w:r>
      <w:r w:rsidR="005F0786">
        <w:rPr>
          <w:rFonts w:ascii="Times New Roman" w:eastAsia="仿宋_GB2312" w:hAnsi="Times New Roman" w:cstheme="majorBidi" w:hint="eastAsia"/>
          <w:color w:val="000000" w:themeColor="text1"/>
          <w:sz w:val="24"/>
          <w:szCs w:val="24"/>
        </w:rPr>
        <w:t>接入</w:t>
      </w:r>
      <w:r w:rsidR="00696491">
        <w:rPr>
          <w:rFonts w:ascii="Times New Roman" w:eastAsia="仿宋_GB2312" w:hAnsi="Times New Roman" w:cstheme="majorBidi" w:hint="eastAsia"/>
          <w:color w:val="000000" w:themeColor="text1"/>
          <w:sz w:val="24"/>
          <w:szCs w:val="24"/>
        </w:rPr>
        <w:t>能耗监测平台</w:t>
      </w:r>
      <w:r w:rsidRPr="004D58D1">
        <w:rPr>
          <w:rFonts w:ascii="Times New Roman" w:eastAsia="仿宋_GB2312" w:hAnsi="Times New Roman" w:cstheme="majorBidi" w:hint="eastAsia"/>
          <w:color w:val="000000" w:themeColor="text1"/>
          <w:sz w:val="24"/>
          <w:szCs w:val="24"/>
        </w:rPr>
        <w:t>建筑历年用电量</w:t>
      </w:r>
      <w:r w:rsidR="004704B6">
        <w:rPr>
          <w:rFonts w:ascii="Times New Roman" w:eastAsia="仿宋_GB2312" w:hAnsi="Times New Roman" w:cstheme="majorBidi" w:hint="eastAsia"/>
          <w:color w:val="000000" w:themeColor="text1"/>
          <w:sz w:val="24"/>
          <w:szCs w:val="24"/>
        </w:rPr>
        <w:t>变化</w:t>
      </w:r>
      <w:r w:rsidRPr="004D58D1">
        <w:rPr>
          <w:rFonts w:ascii="Times New Roman" w:eastAsia="仿宋_GB2312" w:hAnsi="Times New Roman" w:cstheme="majorBidi" w:hint="eastAsia"/>
          <w:color w:val="000000" w:themeColor="text1"/>
          <w:sz w:val="24"/>
          <w:szCs w:val="24"/>
        </w:rPr>
        <w:t>情况</w:t>
      </w:r>
    </w:p>
    <w:p w:rsidR="005F0786" w:rsidRPr="007014A5" w:rsidRDefault="005F0786" w:rsidP="005F0786">
      <w:pPr>
        <w:spacing w:line="360" w:lineRule="auto"/>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2</w:t>
      </w:r>
      <w:r>
        <w:rPr>
          <w:rFonts w:ascii="仿宋_GB2312" w:eastAsia="仿宋_GB2312" w:hAnsi="仿宋" w:cstheme="minorBidi"/>
          <w:sz w:val="30"/>
          <w:szCs w:val="30"/>
        </w:rPr>
        <w:t>014</w:t>
      </w:r>
      <w:r>
        <w:rPr>
          <w:rFonts w:ascii="仿宋_GB2312" w:eastAsia="仿宋_GB2312" w:hAnsi="仿宋" w:cstheme="minorBidi" w:hint="eastAsia"/>
          <w:sz w:val="30"/>
          <w:szCs w:val="30"/>
        </w:rPr>
        <w:t>年至2016年，接入能耗监测平台</w:t>
      </w:r>
      <w:r w:rsidR="00AD2919">
        <w:rPr>
          <w:rFonts w:ascii="仿宋_GB2312" w:eastAsia="仿宋_GB2312" w:hAnsi="仿宋" w:cstheme="minorBidi" w:hint="eastAsia"/>
          <w:sz w:val="30"/>
          <w:szCs w:val="30"/>
        </w:rPr>
        <w:t>的公共</w:t>
      </w:r>
      <w:r>
        <w:rPr>
          <w:rFonts w:ascii="仿宋_GB2312" w:eastAsia="仿宋_GB2312" w:hAnsi="仿宋" w:cstheme="minorBidi" w:hint="eastAsia"/>
          <w:sz w:val="30"/>
          <w:szCs w:val="30"/>
        </w:rPr>
        <w:t>建筑</w:t>
      </w:r>
      <w:r w:rsidR="007D6E52">
        <w:rPr>
          <w:rFonts w:ascii="仿宋_GB2312" w:eastAsia="仿宋_GB2312" w:hAnsi="仿宋" w:cstheme="minorBidi" w:hint="eastAsia"/>
          <w:sz w:val="30"/>
          <w:szCs w:val="30"/>
        </w:rPr>
        <w:t>单位面积</w:t>
      </w:r>
      <w:r w:rsidR="00FD6427">
        <w:rPr>
          <w:rFonts w:ascii="仿宋_GB2312" w:eastAsia="仿宋_GB2312" w:hAnsi="仿宋" w:cstheme="minorBidi" w:hint="eastAsia"/>
          <w:sz w:val="30"/>
          <w:szCs w:val="30"/>
        </w:rPr>
        <w:t>年</w:t>
      </w:r>
      <w:r w:rsidR="007D6E52">
        <w:rPr>
          <w:rFonts w:ascii="仿宋_GB2312" w:eastAsia="仿宋_GB2312" w:hAnsi="仿宋" w:cstheme="minorBidi" w:hint="eastAsia"/>
          <w:sz w:val="30"/>
          <w:szCs w:val="30"/>
        </w:rPr>
        <w:t>平均用电量</w:t>
      </w:r>
      <w:r w:rsidR="00B44A5A">
        <w:rPr>
          <w:rFonts w:ascii="仿宋_GB2312" w:eastAsia="仿宋_GB2312" w:hAnsi="仿宋" w:cstheme="minorBidi" w:hint="eastAsia"/>
          <w:sz w:val="30"/>
          <w:szCs w:val="30"/>
        </w:rPr>
        <w:t>分</w:t>
      </w:r>
      <w:r>
        <w:rPr>
          <w:rFonts w:ascii="仿宋_GB2312" w:eastAsia="仿宋_GB2312" w:hAnsi="仿宋" w:cstheme="minorBidi" w:hint="eastAsia"/>
          <w:sz w:val="30"/>
          <w:szCs w:val="30"/>
        </w:rPr>
        <w:t>别为104kWh</w:t>
      </w:r>
      <w:r>
        <w:rPr>
          <w:rFonts w:ascii="仿宋_GB2312" w:eastAsia="仿宋_GB2312" w:hAnsi="仿宋" w:cstheme="minorBidi"/>
          <w:sz w:val="30"/>
          <w:szCs w:val="30"/>
        </w:rPr>
        <w:t>/m</w:t>
      </w:r>
      <w:r>
        <w:rPr>
          <w:rFonts w:ascii="仿宋_GB2312" w:eastAsia="仿宋_GB2312" w:hAnsi="仿宋" w:cstheme="minorBidi"/>
          <w:sz w:val="30"/>
          <w:szCs w:val="30"/>
          <w:vertAlign w:val="superscript"/>
        </w:rPr>
        <w:t>2</w:t>
      </w:r>
      <w:r>
        <w:rPr>
          <w:rFonts w:ascii="仿宋_GB2312" w:eastAsia="仿宋_GB2312" w:hAnsi="仿宋" w:cstheme="minorBidi" w:hint="eastAsia"/>
          <w:sz w:val="30"/>
          <w:szCs w:val="30"/>
        </w:rPr>
        <w:t>、100kWh</w:t>
      </w:r>
      <w:r>
        <w:rPr>
          <w:rFonts w:ascii="仿宋_GB2312" w:eastAsia="仿宋_GB2312" w:hAnsi="仿宋" w:cstheme="minorBidi"/>
          <w:sz w:val="30"/>
          <w:szCs w:val="30"/>
        </w:rPr>
        <w:t>/m</w:t>
      </w:r>
      <w:r>
        <w:rPr>
          <w:rFonts w:ascii="仿宋_GB2312" w:eastAsia="仿宋_GB2312" w:hAnsi="仿宋" w:cstheme="minorBidi"/>
          <w:sz w:val="30"/>
          <w:szCs w:val="30"/>
          <w:vertAlign w:val="superscript"/>
        </w:rPr>
        <w:t>2</w:t>
      </w:r>
      <w:r>
        <w:rPr>
          <w:rFonts w:ascii="仿宋_GB2312" w:eastAsia="仿宋_GB2312" w:hAnsi="仿宋" w:cstheme="minorBidi" w:hint="eastAsia"/>
          <w:sz w:val="30"/>
          <w:szCs w:val="30"/>
        </w:rPr>
        <w:t>、105kWh</w:t>
      </w:r>
      <w:r>
        <w:rPr>
          <w:rFonts w:ascii="仿宋_GB2312" w:eastAsia="仿宋_GB2312" w:hAnsi="仿宋" w:cstheme="minorBidi"/>
          <w:sz w:val="30"/>
          <w:szCs w:val="30"/>
        </w:rPr>
        <w:t>/m</w:t>
      </w:r>
      <w:r>
        <w:rPr>
          <w:rFonts w:ascii="仿宋_GB2312" w:eastAsia="仿宋_GB2312" w:hAnsi="仿宋" w:cstheme="minorBidi"/>
          <w:sz w:val="30"/>
          <w:szCs w:val="30"/>
          <w:vertAlign w:val="superscript"/>
        </w:rPr>
        <w:t>2</w:t>
      </w:r>
      <w:r>
        <w:rPr>
          <w:rFonts w:ascii="仿宋_GB2312" w:eastAsia="仿宋_GB2312" w:hAnsi="仿宋" w:cstheme="minorBidi" w:hint="eastAsia"/>
          <w:sz w:val="30"/>
          <w:szCs w:val="30"/>
        </w:rPr>
        <w:t>，</w:t>
      </w:r>
      <w:r w:rsidR="00D776FF" w:rsidRPr="00DA4364">
        <w:rPr>
          <w:rFonts w:ascii="仿宋_GB2312" w:eastAsia="仿宋_GB2312" w:hAnsi="仿宋" w:cstheme="minorBidi" w:hint="eastAsia"/>
          <w:sz w:val="30"/>
          <w:szCs w:val="30"/>
        </w:rPr>
        <w:t>历年波动范围约</w:t>
      </w:r>
      <w:r w:rsidR="00DA04B3">
        <w:rPr>
          <w:rFonts w:ascii="仿宋_GB2312" w:eastAsia="仿宋_GB2312" w:hAnsi="仿宋" w:cstheme="minorBidi" w:hint="eastAsia"/>
          <w:sz w:val="30"/>
          <w:szCs w:val="30"/>
        </w:rPr>
        <w:t>为</w:t>
      </w:r>
      <w:r w:rsidR="00D776FF" w:rsidRPr="00DA4364">
        <w:rPr>
          <w:rFonts w:ascii="仿宋_GB2312" w:eastAsia="仿宋_GB2312" w:hAnsi="仿宋" w:cstheme="minorBidi"/>
          <w:sz w:val="30"/>
          <w:szCs w:val="30"/>
        </w:rPr>
        <w:t>5％</w:t>
      </w:r>
      <w:r w:rsidR="00B44A5A">
        <w:rPr>
          <w:rFonts w:ascii="仿宋_GB2312" w:eastAsia="仿宋_GB2312" w:hAnsi="仿宋" w:cstheme="minorBidi" w:hint="eastAsia"/>
          <w:sz w:val="30"/>
          <w:szCs w:val="30"/>
        </w:rPr>
        <w:t>。</w:t>
      </w:r>
      <w:r w:rsidR="00D776FF" w:rsidRPr="00DA4364">
        <w:rPr>
          <w:rFonts w:ascii="仿宋_GB2312" w:eastAsia="仿宋_GB2312" w:hAnsi="仿宋" w:cstheme="minorBidi"/>
          <w:sz w:val="30"/>
          <w:szCs w:val="30"/>
        </w:rPr>
        <w:t>其中，</w:t>
      </w:r>
      <w:r w:rsidR="000C6B0B" w:rsidRPr="00DA4364">
        <w:rPr>
          <w:rFonts w:ascii="仿宋_GB2312" w:eastAsia="仿宋_GB2312" w:hAnsi="仿宋" w:cstheme="minorBidi"/>
          <w:sz w:val="30"/>
          <w:szCs w:val="30"/>
        </w:rPr>
        <w:t>2015年单位面积用电量略低于2014</w:t>
      </w:r>
      <w:r w:rsidR="000C6B0B" w:rsidRPr="00DA4364">
        <w:rPr>
          <w:rFonts w:ascii="仿宋_GB2312" w:eastAsia="仿宋_GB2312" w:hAnsi="仿宋" w:cstheme="minorBidi"/>
          <w:sz w:val="30"/>
          <w:szCs w:val="30"/>
        </w:rPr>
        <w:lastRenderedPageBreak/>
        <w:t>年，2016年单位面积用电量略高于2015</w:t>
      </w:r>
      <w:r w:rsidR="000C6B0B" w:rsidRPr="00DA4364">
        <w:rPr>
          <w:rFonts w:ascii="仿宋_GB2312" w:eastAsia="仿宋_GB2312" w:hAnsi="仿宋" w:cstheme="minorBidi" w:hint="eastAsia"/>
          <w:sz w:val="30"/>
          <w:szCs w:val="30"/>
        </w:rPr>
        <w:t>年</w:t>
      </w:r>
      <w:r w:rsidR="00D776FF" w:rsidRPr="00DA4364">
        <w:rPr>
          <w:rFonts w:ascii="仿宋_GB2312" w:eastAsia="仿宋_GB2312" w:hAnsi="仿宋" w:cstheme="minorBidi" w:hint="eastAsia"/>
          <w:sz w:val="30"/>
          <w:szCs w:val="30"/>
        </w:rPr>
        <w:t>。</w:t>
      </w:r>
      <w:r w:rsidR="00923BA0">
        <w:rPr>
          <w:rFonts w:ascii="仿宋_GB2312" w:eastAsia="仿宋_GB2312" w:hAnsi="仿宋" w:cstheme="minorBidi"/>
          <w:sz w:val="30"/>
          <w:szCs w:val="30"/>
        </w:rPr>
        <w:t>201</w:t>
      </w:r>
      <w:r w:rsidR="00923BA0">
        <w:rPr>
          <w:rFonts w:ascii="仿宋_GB2312" w:eastAsia="仿宋_GB2312" w:hAnsi="仿宋" w:cstheme="minorBidi" w:hint="eastAsia"/>
          <w:sz w:val="30"/>
          <w:szCs w:val="30"/>
        </w:rPr>
        <w:t>6</w:t>
      </w:r>
      <w:r w:rsidR="00923BA0">
        <w:rPr>
          <w:rFonts w:ascii="仿宋_GB2312" w:eastAsia="仿宋_GB2312" w:hAnsi="仿宋" w:cstheme="minorBidi"/>
          <w:sz w:val="30"/>
          <w:szCs w:val="30"/>
        </w:rPr>
        <w:t>年是本市高温日最</w:t>
      </w:r>
      <w:r w:rsidR="00923BA0">
        <w:rPr>
          <w:rFonts w:ascii="仿宋_GB2312" w:eastAsia="仿宋_GB2312" w:hAnsi="仿宋" w:cstheme="minorBidi" w:hint="eastAsia"/>
          <w:sz w:val="30"/>
          <w:szCs w:val="30"/>
        </w:rPr>
        <w:t>多</w:t>
      </w:r>
      <w:r w:rsidR="00D776FF" w:rsidRPr="00DA4364">
        <w:rPr>
          <w:rFonts w:ascii="仿宋_GB2312" w:eastAsia="仿宋_GB2312" w:hAnsi="仿宋" w:cstheme="minorBidi"/>
          <w:sz w:val="30"/>
          <w:szCs w:val="30"/>
        </w:rPr>
        <w:t xml:space="preserve">的一年， </w:t>
      </w:r>
      <w:r w:rsidR="00923BA0">
        <w:rPr>
          <w:rFonts w:ascii="仿宋_GB2312" w:eastAsia="仿宋_GB2312" w:hAnsi="仿宋" w:cstheme="minorBidi" w:hint="eastAsia"/>
          <w:sz w:val="30"/>
          <w:szCs w:val="30"/>
        </w:rPr>
        <w:t>是</w:t>
      </w:r>
      <w:r w:rsidRPr="00DA4364">
        <w:rPr>
          <w:rFonts w:ascii="仿宋_GB2312" w:eastAsia="仿宋_GB2312" w:hAnsi="仿宋" w:cstheme="minorBidi"/>
          <w:sz w:val="30"/>
          <w:szCs w:val="30"/>
        </w:rPr>
        <w:t>2014</w:t>
      </w:r>
      <w:r w:rsidRPr="00DA4364">
        <w:rPr>
          <w:rFonts w:ascii="仿宋_GB2312" w:eastAsia="仿宋_GB2312" w:hAnsi="仿宋" w:cstheme="minorBidi" w:hint="eastAsia"/>
          <w:sz w:val="30"/>
          <w:szCs w:val="30"/>
        </w:rPr>
        <w:t>年及</w:t>
      </w:r>
      <w:r w:rsidR="00445BF5">
        <w:rPr>
          <w:rFonts w:ascii="仿宋_GB2312" w:eastAsia="仿宋_GB2312" w:hAnsi="仿宋" w:cstheme="minorBidi"/>
          <w:sz w:val="30"/>
          <w:szCs w:val="30"/>
        </w:rPr>
        <w:t>201</w:t>
      </w:r>
      <w:r w:rsidR="00445BF5">
        <w:rPr>
          <w:rFonts w:ascii="仿宋_GB2312" w:eastAsia="仿宋_GB2312" w:hAnsi="仿宋" w:cstheme="minorBidi" w:hint="eastAsia"/>
          <w:sz w:val="30"/>
          <w:szCs w:val="30"/>
        </w:rPr>
        <w:t>5</w:t>
      </w:r>
      <w:r w:rsidRPr="00DA4364">
        <w:rPr>
          <w:rFonts w:ascii="仿宋_GB2312" w:eastAsia="仿宋_GB2312" w:hAnsi="仿宋" w:cstheme="minorBidi"/>
          <w:sz w:val="30"/>
          <w:szCs w:val="30"/>
        </w:rPr>
        <w:t>年</w:t>
      </w:r>
      <w:r w:rsidR="00B44A5A">
        <w:rPr>
          <w:rFonts w:ascii="仿宋_GB2312" w:eastAsia="仿宋_GB2312" w:hAnsi="仿宋" w:cstheme="minorBidi" w:hint="eastAsia"/>
          <w:sz w:val="30"/>
          <w:szCs w:val="30"/>
        </w:rPr>
        <w:t>的</w:t>
      </w:r>
      <w:r w:rsidRPr="00DA4364">
        <w:rPr>
          <w:rFonts w:ascii="仿宋_GB2312" w:eastAsia="仿宋_GB2312" w:hAnsi="仿宋" w:cstheme="minorBidi"/>
          <w:sz w:val="30"/>
          <w:szCs w:val="30"/>
        </w:rPr>
        <w:t>近3倍，致使</w:t>
      </w:r>
      <w:r w:rsidR="00D776FF" w:rsidRPr="00DA4364">
        <w:rPr>
          <w:rFonts w:ascii="仿宋_GB2312" w:eastAsia="仿宋_GB2312" w:hAnsi="仿宋" w:cstheme="minorBidi" w:hint="eastAsia"/>
          <w:sz w:val="30"/>
          <w:szCs w:val="30"/>
        </w:rPr>
        <w:t>公共建筑总</w:t>
      </w:r>
      <w:r w:rsidRPr="00DA4364">
        <w:rPr>
          <w:rFonts w:ascii="仿宋_GB2312" w:eastAsia="仿宋_GB2312" w:hAnsi="仿宋" w:cstheme="minorBidi" w:hint="eastAsia"/>
          <w:sz w:val="30"/>
          <w:szCs w:val="30"/>
        </w:rPr>
        <w:t>用电</w:t>
      </w:r>
      <w:r w:rsidR="00D776FF" w:rsidRPr="00DA4364">
        <w:rPr>
          <w:rFonts w:ascii="仿宋_GB2312" w:eastAsia="仿宋_GB2312" w:hAnsi="仿宋" w:cstheme="minorBidi" w:hint="eastAsia"/>
          <w:sz w:val="30"/>
          <w:szCs w:val="30"/>
        </w:rPr>
        <w:t>量</w:t>
      </w:r>
      <w:r w:rsidRPr="00DA4364">
        <w:rPr>
          <w:rFonts w:ascii="仿宋_GB2312" w:eastAsia="仿宋_GB2312" w:hAnsi="仿宋" w:cstheme="minorBidi" w:hint="eastAsia"/>
          <w:sz w:val="30"/>
          <w:szCs w:val="30"/>
        </w:rPr>
        <w:t>有所增加</w:t>
      </w:r>
      <w:r w:rsidR="00B44A5A">
        <w:rPr>
          <w:rFonts w:ascii="仿宋_GB2312" w:eastAsia="仿宋_GB2312" w:hAnsi="仿宋" w:cstheme="minorBidi" w:hint="eastAsia"/>
          <w:sz w:val="30"/>
          <w:szCs w:val="30"/>
        </w:rPr>
        <w:t>；</w:t>
      </w:r>
      <w:r w:rsidRPr="00DA4364">
        <w:rPr>
          <w:rFonts w:ascii="仿宋_GB2312" w:eastAsia="仿宋_GB2312" w:hAnsi="仿宋" w:cstheme="minorBidi" w:hint="eastAsia"/>
          <w:sz w:val="30"/>
          <w:szCs w:val="30"/>
        </w:rPr>
        <w:t>其次</w:t>
      </w:r>
      <w:r w:rsidR="00B44A5A">
        <w:rPr>
          <w:rFonts w:ascii="仿宋_GB2312" w:eastAsia="仿宋_GB2312" w:hAnsi="仿宋" w:cstheme="minorBidi" w:hint="eastAsia"/>
          <w:sz w:val="30"/>
          <w:szCs w:val="30"/>
        </w:rPr>
        <w:t>，</w:t>
      </w:r>
      <w:r w:rsidR="00374A4D" w:rsidRPr="00DA4364">
        <w:rPr>
          <w:rFonts w:ascii="仿宋_GB2312" w:eastAsia="仿宋_GB2312" w:hAnsi="仿宋" w:cstheme="minorBidi"/>
          <w:sz w:val="30"/>
          <w:szCs w:val="30"/>
        </w:rPr>
        <w:t>2016年是本市400万m</w:t>
      </w:r>
      <w:r w:rsidR="00374A4D" w:rsidRPr="00DA4364">
        <w:rPr>
          <w:rFonts w:ascii="仿宋_GB2312" w:eastAsia="仿宋_GB2312" w:hAnsi="仿宋" w:cstheme="minorBidi"/>
          <w:sz w:val="30"/>
          <w:szCs w:val="30"/>
          <w:vertAlign w:val="superscript"/>
        </w:rPr>
        <w:t>2</w:t>
      </w:r>
      <w:r w:rsidR="00374A4D" w:rsidRPr="00DA4364">
        <w:rPr>
          <w:rFonts w:ascii="仿宋_GB2312" w:eastAsia="仿宋_GB2312" w:hAnsi="仿宋" w:cstheme="minorBidi" w:hint="eastAsia"/>
          <w:sz w:val="30"/>
          <w:szCs w:val="30"/>
        </w:rPr>
        <w:t>公共建筑节能改造</w:t>
      </w:r>
      <w:r w:rsidR="00B44A5A">
        <w:rPr>
          <w:rFonts w:ascii="仿宋_GB2312" w:eastAsia="仿宋_GB2312" w:hAnsi="仿宋" w:cstheme="minorBidi" w:hint="eastAsia"/>
          <w:sz w:val="30"/>
          <w:szCs w:val="30"/>
        </w:rPr>
        <w:t>重点</w:t>
      </w:r>
      <w:r w:rsidR="00B44A5A">
        <w:rPr>
          <w:rFonts w:ascii="仿宋_GB2312" w:eastAsia="仿宋_GB2312" w:hAnsi="仿宋" w:cstheme="minorBidi"/>
          <w:sz w:val="30"/>
          <w:szCs w:val="30"/>
        </w:rPr>
        <w:t>城市</w:t>
      </w:r>
      <w:r w:rsidR="00374A4D" w:rsidRPr="00DA4364">
        <w:rPr>
          <w:rFonts w:ascii="仿宋_GB2312" w:eastAsia="仿宋_GB2312" w:hAnsi="仿宋" w:cstheme="minorBidi" w:hint="eastAsia"/>
          <w:sz w:val="30"/>
          <w:szCs w:val="30"/>
        </w:rPr>
        <w:t>示范</w:t>
      </w:r>
      <w:r w:rsidR="00B44A5A">
        <w:rPr>
          <w:rFonts w:ascii="仿宋_GB2312" w:eastAsia="仿宋_GB2312" w:hAnsi="仿宋" w:cstheme="minorBidi" w:hint="eastAsia"/>
          <w:sz w:val="30"/>
          <w:szCs w:val="30"/>
        </w:rPr>
        <w:t>项目</w:t>
      </w:r>
      <w:r w:rsidR="00374A4D" w:rsidRPr="00DA4364">
        <w:rPr>
          <w:rFonts w:ascii="仿宋_GB2312" w:eastAsia="仿宋_GB2312" w:hAnsi="仿宋" w:cstheme="minorBidi" w:hint="eastAsia"/>
          <w:sz w:val="30"/>
          <w:szCs w:val="30"/>
        </w:rPr>
        <w:t>建设完成后的第一年，</w:t>
      </w:r>
      <w:r w:rsidR="00B44A5A">
        <w:rPr>
          <w:rFonts w:ascii="仿宋_GB2312" w:eastAsia="仿宋_GB2312" w:hAnsi="仿宋" w:cstheme="minorBidi" w:hint="eastAsia"/>
          <w:sz w:val="30"/>
          <w:szCs w:val="30"/>
        </w:rPr>
        <w:t>部分</w:t>
      </w:r>
      <w:r w:rsidR="00374A4D" w:rsidRPr="00DA4364">
        <w:rPr>
          <w:rFonts w:ascii="仿宋_GB2312" w:eastAsia="仿宋_GB2312" w:hAnsi="仿宋" w:cstheme="minorBidi"/>
          <w:sz w:val="30"/>
          <w:szCs w:val="30"/>
        </w:rPr>
        <w:t>改造项目</w:t>
      </w:r>
      <w:r w:rsidR="00B44A5A">
        <w:rPr>
          <w:rFonts w:ascii="仿宋_GB2312" w:eastAsia="仿宋_GB2312" w:hAnsi="仿宋" w:cstheme="minorBidi" w:hint="eastAsia"/>
          <w:sz w:val="30"/>
          <w:szCs w:val="30"/>
        </w:rPr>
        <w:t>，</w:t>
      </w:r>
      <w:r w:rsidR="00B44A5A">
        <w:rPr>
          <w:rFonts w:ascii="仿宋_GB2312" w:eastAsia="仿宋_GB2312" w:hAnsi="仿宋" w:cstheme="minorBidi"/>
          <w:sz w:val="30"/>
          <w:szCs w:val="30"/>
        </w:rPr>
        <w:t>尤其是</w:t>
      </w:r>
      <w:r w:rsidR="00B44A5A">
        <w:rPr>
          <w:rFonts w:ascii="仿宋_GB2312" w:eastAsia="仿宋_GB2312" w:hAnsi="仿宋" w:cstheme="minorBidi" w:hint="eastAsia"/>
          <w:sz w:val="30"/>
          <w:szCs w:val="30"/>
        </w:rPr>
        <w:t>多数</w:t>
      </w:r>
      <w:r w:rsidR="00B44A5A">
        <w:rPr>
          <w:rFonts w:ascii="仿宋_GB2312" w:eastAsia="仿宋_GB2312" w:hAnsi="仿宋" w:cstheme="minorBidi"/>
          <w:sz w:val="30"/>
          <w:szCs w:val="30"/>
        </w:rPr>
        <w:t>旅游饭店改造项目</w:t>
      </w:r>
      <w:r w:rsidR="00374A4D" w:rsidRPr="00DA4364">
        <w:rPr>
          <w:rFonts w:ascii="仿宋_GB2312" w:eastAsia="仿宋_GB2312" w:hAnsi="仿宋" w:cstheme="minorBidi"/>
          <w:sz w:val="30"/>
          <w:szCs w:val="30"/>
        </w:rPr>
        <w:t>实施了油改电或气改电的技术措施，其能源结构发生</w:t>
      </w:r>
      <w:r w:rsidRPr="00DA4364">
        <w:rPr>
          <w:rFonts w:ascii="仿宋_GB2312" w:eastAsia="仿宋_GB2312" w:hAnsi="仿宋" w:cstheme="minorBidi" w:hint="eastAsia"/>
          <w:sz w:val="30"/>
          <w:szCs w:val="30"/>
        </w:rPr>
        <w:t>变化，</w:t>
      </w:r>
      <w:r w:rsidR="00B44A5A">
        <w:rPr>
          <w:rFonts w:ascii="仿宋_GB2312" w:eastAsia="仿宋_GB2312" w:hAnsi="仿宋" w:cstheme="minorBidi" w:hint="eastAsia"/>
          <w:sz w:val="30"/>
          <w:szCs w:val="30"/>
        </w:rPr>
        <w:t>用电量</w:t>
      </w:r>
      <w:r w:rsidR="00B44A5A">
        <w:rPr>
          <w:rFonts w:ascii="仿宋_GB2312" w:eastAsia="仿宋_GB2312" w:hAnsi="仿宋" w:cstheme="minorBidi"/>
          <w:sz w:val="30"/>
          <w:szCs w:val="30"/>
        </w:rPr>
        <w:t>占比增大，</w:t>
      </w:r>
      <w:r w:rsidR="00374A4D" w:rsidRPr="00DA4364">
        <w:rPr>
          <w:rFonts w:ascii="仿宋_GB2312" w:eastAsia="仿宋_GB2312" w:hAnsi="仿宋" w:cstheme="minorBidi" w:hint="eastAsia"/>
          <w:sz w:val="30"/>
          <w:szCs w:val="30"/>
        </w:rPr>
        <w:t>致使</w:t>
      </w:r>
      <w:r w:rsidR="00795B03" w:rsidRPr="00DA4364">
        <w:rPr>
          <w:rFonts w:ascii="仿宋_GB2312" w:eastAsia="仿宋_GB2312" w:hAnsi="仿宋" w:cstheme="minorBidi" w:hint="eastAsia"/>
          <w:sz w:val="30"/>
          <w:szCs w:val="30"/>
        </w:rPr>
        <w:t>公共建筑</w:t>
      </w:r>
      <w:r w:rsidR="003C68A2" w:rsidRPr="00DA4364">
        <w:rPr>
          <w:rFonts w:ascii="仿宋_GB2312" w:eastAsia="仿宋_GB2312" w:hAnsi="仿宋" w:cstheme="minorBidi" w:hint="eastAsia"/>
          <w:sz w:val="30"/>
          <w:szCs w:val="30"/>
        </w:rPr>
        <w:t>年单位面积</w:t>
      </w:r>
      <w:r w:rsidRPr="00DA4364">
        <w:rPr>
          <w:rFonts w:ascii="仿宋_GB2312" w:eastAsia="仿宋_GB2312" w:hAnsi="仿宋" w:cstheme="minorBidi" w:hint="eastAsia"/>
          <w:sz w:val="30"/>
          <w:szCs w:val="30"/>
        </w:rPr>
        <w:t>用电量</w:t>
      </w:r>
      <w:r w:rsidR="003C68A2" w:rsidRPr="00DA4364">
        <w:rPr>
          <w:rFonts w:ascii="仿宋_GB2312" w:eastAsia="仿宋_GB2312" w:hAnsi="仿宋" w:cstheme="minorBidi" w:hint="eastAsia"/>
          <w:sz w:val="30"/>
          <w:szCs w:val="30"/>
        </w:rPr>
        <w:t>小幅</w:t>
      </w:r>
      <w:r w:rsidRPr="00DA4364">
        <w:rPr>
          <w:rFonts w:ascii="仿宋_GB2312" w:eastAsia="仿宋_GB2312" w:hAnsi="仿宋" w:cstheme="minorBidi" w:hint="eastAsia"/>
          <w:sz w:val="30"/>
          <w:szCs w:val="30"/>
        </w:rPr>
        <w:t>增加。</w:t>
      </w:r>
    </w:p>
    <w:p w:rsidR="00DE5B83" w:rsidRPr="0029022F" w:rsidRDefault="00DA4364" w:rsidP="00DB66EC">
      <w:pPr>
        <w:pStyle w:val="2"/>
        <w:spacing w:beforeLines="50" w:afterLines="50" w:line="360" w:lineRule="auto"/>
        <w:rPr>
          <w:rFonts w:ascii="黑体" w:eastAsia="黑体" w:hAnsi="黑体" w:cs="Times New Roman"/>
          <w:bCs w:val="0"/>
          <w:color w:val="000000" w:themeColor="text1"/>
        </w:rPr>
      </w:pPr>
      <w:bookmarkStart w:id="7" w:name="_Toc479752999"/>
      <w:r>
        <w:rPr>
          <w:rFonts w:ascii="黑体" w:eastAsia="黑体" w:hAnsi="黑体" w:cs="Times New Roman" w:hint="eastAsia"/>
          <w:bCs w:val="0"/>
          <w:color w:val="000000" w:themeColor="text1"/>
        </w:rPr>
        <w:t>（二）</w:t>
      </w:r>
      <w:r w:rsidR="00903F0B">
        <w:rPr>
          <w:rFonts w:ascii="黑体" w:eastAsia="黑体" w:hAnsi="黑体" w:cs="Times New Roman" w:hint="eastAsia"/>
          <w:bCs w:val="0"/>
          <w:color w:val="000000" w:themeColor="text1"/>
        </w:rPr>
        <w:t>专</w:t>
      </w:r>
      <w:r w:rsidR="004F0272">
        <w:rPr>
          <w:rFonts w:ascii="黑体" w:eastAsia="黑体" w:hAnsi="黑体" w:cs="Times New Roman" w:hint="eastAsia"/>
          <w:bCs w:val="0"/>
          <w:color w:val="000000" w:themeColor="text1"/>
        </w:rPr>
        <w:t>题</w:t>
      </w:r>
      <w:r w:rsidR="005053BA" w:rsidRPr="0029022F">
        <w:rPr>
          <w:rFonts w:ascii="黑体" w:eastAsia="黑体" w:hAnsi="黑体" w:cs="Times New Roman" w:hint="eastAsia"/>
          <w:bCs w:val="0"/>
          <w:color w:val="000000" w:themeColor="text1"/>
        </w:rPr>
        <w:t>分析</w:t>
      </w:r>
      <w:bookmarkEnd w:id="7"/>
    </w:p>
    <w:p w:rsidR="005053BA" w:rsidRPr="0029022F" w:rsidRDefault="005053BA" w:rsidP="004704B6">
      <w:pPr>
        <w:pStyle w:val="3"/>
        <w:spacing w:before="0" w:after="0" w:line="415" w:lineRule="auto"/>
        <w:rPr>
          <w:rFonts w:ascii="黑体" w:eastAsia="黑体" w:hAnsi="黑体" w:cstheme="minorBidi"/>
          <w:bCs w:val="0"/>
          <w:sz w:val="30"/>
          <w:szCs w:val="30"/>
        </w:rPr>
      </w:pPr>
      <w:bookmarkStart w:id="8" w:name="_Toc479753000"/>
      <w:r w:rsidRPr="0029022F">
        <w:rPr>
          <w:rFonts w:ascii="黑体" w:eastAsia="黑体" w:hAnsi="黑体" w:cstheme="minorBidi" w:hint="eastAsia"/>
          <w:bCs w:val="0"/>
          <w:sz w:val="30"/>
          <w:szCs w:val="30"/>
        </w:rPr>
        <w:t>1、供热季、过渡季、制冷季用电</w:t>
      </w:r>
      <w:r w:rsidR="007D6E52">
        <w:rPr>
          <w:rFonts w:ascii="黑体" w:eastAsia="黑体" w:hAnsi="黑体" w:cstheme="minorBidi" w:hint="eastAsia"/>
          <w:bCs w:val="0"/>
          <w:sz w:val="30"/>
          <w:szCs w:val="30"/>
        </w:rPr>
        <w:t>量</w:t>
      </w:r>
      <w:r w:rsidRPr="0029022F">
        <w:rPr>
          <w:rFonts w:ascii="黑体" w:eastAsia="黑体" w:hAnsi="黑体" w:cstheme="minorBidi" w:hint="eastAsia"/>
          <w:bCs w:val="0"/>
          <w:sz w:val="30"/>
          <w:szCs w:val="30"/>
        </w:rPr>
        <w:t>情况</w:t>
      </w:r>
      <w:bookmarkEnd w:id="8"/>
    </w:p>
    <w:p w:rsidR="00B36055" w:rsidRDefault="00B36055" w:rsidP="005053BA">
      <w:pPr>
        <w:spacing w:line="360" w:lineRule="auto"/>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根据上海市</w:t>
      </w:r>
      <w:r w:rsidR="005F0786">
        <w:rPr>
          <w:rFonts w:ascii="仿宋_GB2312" w:eastAsia="仿宋_GB2312" w:hAnsi="仿宋" w:cstheme="minorBidi" w:hint="eastAsia"/>
          <w:sz w:val="30"/>
          <w:szCs w:val="30"/>
        </w:rPr>
        <w:t>气候变化规</w:t>
      </w:r>
      <w:r w:rsidR="00DF3141">
        <w:rPr>
          <w:rFonts w:ascii="仿宋_GB2312" w:eastAsia="仿宋_GB2312" w:hAnsi="仿宋" w:cstheme="minorBidi" w:hint="eastAsia"/>
          <w:sz w:val="30"/>
          <w:szCs w:val="30"/>
        </w:rPr>
        <w:t>律及生活</w:t>
      </w:r>
      <w:r w:rsidR="005F0786">
        <w:rPr>
          <w:rFonts w:ascii="仿宋_GB2312" w:eastAsia="仿宋_GB2312" w:hAnsi="仿宋" w:cstheme="minorBidi" w:hint="eastAsia"/>
          <w:sz w:val="30"/>
          <w:szCs w:val="30"/>
        </w:rPr>
        <w:t>用能习惯</w:t>
      </w:r>
      <w:r>
        <w:rPr>
          <w:rFonts w:ascii="仿宋_GB2312" w:eastAsia="仿宋_GB2312" w:hAnsi="仿宋" w:cstheme="minorBidi" w:hint="eastAsia"/>
          <w:sz w:val="30"/>
          <w:szCs w:val="30"/>
        </w:rPr>
        <w:t>，</w:t>
      </w:r>
      <w:r w:rsidR="005F0786">
        <w:rPr>
          <w:rFonts w:ascii="仿宋_GB2312" w:eastAsia="仿宋_GB2312" w:hAnsi="仿宋" w:cstheme="minorBidi" w:hint="eastAsia"/>
          <w:sz w:val="30"/>
          <w:szCs w:val="30"/>
        </w:rPr>
        <w:t>本报告设定</w:t>
      </w:r>
      <w:r>
        <w:rPr>
          <w:rFonts w:ascii="仿宋_GB2312" w:eastAsia="仿宋_GB2312" w:hAnsi="仿宋" w:cstheme="minorBidi" w:hint="eastAsia"/>
          <w:sz w:val="30"/>
          <w:szCs w:val="30"/>
        </w:rPr>
        <w:t>1、2、3、12月份为供热季，4、5、10、11月份为过渡季，6、7、8、9月份为制冷季</w:t>
      </w:r>
      <w:r w:rsidR="005F0786">
        <w:rPr>
          <w:rFonts w:ascii="仿宋_GB2312" w:eastAsia="仿宋_GB2312" w:hAnsi="仿宋" w:cstheme="minorBidi" w:hint="eastAsia"/>
          <w:sz w:val="30"/>
          <w:szCs w:val="30"/>
        </w:rPr>
        <w:t>来进行分析</w:t>
      </w:r>
      <w:r>
        <w:rPr>
          <w:rFonts w:ascii="仿宋_GB2312" w:eastAsia="仿宋_GB2312" w:hAnsi="仿宋" w:cstheme="minorBidi" w:hint="eastAsia"/>
          <w:sz w:val="30"/>
          <w:szCs w:val="30"/>
        </w:rPr>
        <w:t>。</w:t>
      </w:r>
    </w:p>
    <w:p w:rsidR="005053BA" w:rsidRDefault="005053BA" w:rsidP="005053BA">
      <w:pPr>
        <w:spacing w:line="360" w:lineRule="auto"/>
        <w:ind w:firstLineChars="200" w:firstLine="600"/>
        <w:rPr>
          <w:rFonts w:ascii="仿宋_GB2312" w:eastAsia="仿宋_GB2312" w:hAnsi="仿宋" w:cstheme="minorBidi"/>
          <w:sz w:val="30"/>
          <w:szCs w:val="30"/>
        </w:rPr>
      </w:pPr>
      <w:r w:rsidRPr="0029022F">
        <w:rPr>
          <w:rFonts w:ascii="仿宋_GB2312" w:eastAsia="仿宋_GB2312" w:hAnsi="仿宋" w:cstheme="minorBidi" w:hint="eastAsia"/>
          <w:sz w:val="30"/>
          <w:szCs w:val="30"/>
        </w:rPr>
        <w:t>2016</w:t>
      </w:r>
      <w:r w:rsidR="007D6E52">
        <w:rPr>
          <w:rFonts w:ascii="仿宋_GB2312" w:eastAsia="仿宋_GB2312" w:hAnsi="仿宋" w:cstheme="minorBidi" w:hint="eastAsia"/>
          <w:sz w:val="30"/>
          <w:szCs w:val="30"/>
        </w:rPr>
        <w:t>年</w:t>
      </w:r>
      <w:r w:rsidR="005F0786">
        <w:rPr>
          <w:rFonts w:ascii="仿宋_GB2312" w:eastAsia="仿宋_GB2312" w:hAnsi="仿宋" w:cstheme="minorBidi" w:hint="eastAsia"/>
          <w:sz w:val="30"/>
          <w:szCs w:val="30"/>
        </w:rPr>
        <w:t>接</w:t>
      </w:r>
      <w:r w:rsidRPr="0029022F">
        <w:rPr>
          <w:rFonts w:ascii="仿宋_GB2312" w:eastAsia="仿宋_GB2312" w:hAnsi="仿宋" w:cstheme="minorBidi" w:hint="eastAsia"/>
          <w:sz w:val="30"/>
          <w:szCs w:val="30"/>
        </w:rPr>
        <w:t>入</w:t>
      </w:r>
      <w:r w:rsidR="00696491">
        <w:rPr>
          <w:rFonts w:ascii="仿宋_GB2312" w:eastAsia="仿宋_GB2312" w:hAnsi="仿宋" w:cstheme="minorBidi" w:hint="eastAsia"/>
          <w:sz w:val="30"/>
          <w:szCs w:val="30"/>
        </w:rPr>
        <w:t>能耗监测平台</w:t>
      </w:r>
      <w:r w:rsidRPr="0029022F">
        <w:rPr>
          <w:rFonts w:ascii="仿宋_GB2312" w:eastAsia="仿宋_GB2312" w:hAnsi="仿宋" w:cstheme="minorBidi" w:hint="eastAsia"/>
          <w:sz w:val="30"/>
          <w:szCs w:val="30"/>
        </w:rPr>
        <w:t>建筑供热季用电量为22.0</w:t>
      </w:r>
      <w:r w:rsidR="005F0786">
        <w:rPr>
          <w:rFonts w:ascii="仿宋_GB2312" w:eastAsia="仿宋_GB2312" w:hAnsi="仿宋" w:cstheme="minorBidi" w:hint="eastAsia"/>
          <w:sz w:val="30"/>
          <w:szCs w:val="30"/>
        </w:rPr>
        <w:t>亿kWh</w:t>
      </w:r>
      <w:r w:rsidR="009859D0" w:rsidRPr="0029022F">
        <w:rPr>
          <w:rFonts w:ascii="仿宋_GB2312" w:eastAsia="仿宋_GB2312" w:hAnsi="仿宋" w:cstheme="minorBidi" w:hint="eastAsia"/>
          <w:sz w:val="30"/>
          <w:szCs w:val="30"/>
        </w:rPr>
        <w:t>（33.9</w:t>
      </w:r>
      <w:r w:rsidR="005F0786">
        <w:rPr>
          <w:rFonts w:ascii="仿宋_GB2312" w:eastAsia="仿宋_GB2312" w:hAnsi="仿宋" w:cstheme="minorBidi" w:hint="eastAsia"/>
          <w:sz w:val="30"/>
          <w:szCs w:val="30"/>
        </w:rPr>
        <w:t>kWh</w:t>
      </w:r>
      <w:r w:rsidR="009859D0" w:rsidRPr="0029022F">
        <w:rPr>
          <w:rFonts w:ascii="仿宋_GB2312" w:eastAsia="仿宋_GB2312" w:hAnsi="仿宋" w:cstheme="minorBidi" w:hint="eastAsia"/>
          <w:sz w:val="30"/>
          <w:szCs w:val="30"/>
        </w:rPr>
        <w:t>/ m</w:t>
      </w:r>
      <w:r w:rsidR="009859D0" w:rsidRPr="00B36055">
        <w:rPr>
          <w:rFonts w:ascii="仿宋_GB2312" w:eastAsia="仿宋_GB2312" w:hAnsi="仿宋" w:cstheme="minorBidi" w:hint="eastAsia"/>
          <w:sz w:val="30"/>
          <w:szCs w:val="30"/>
          <w:vertAlign w:val="superscript"/>
        </w:rPr>
        <w:t>2</w:t>
      </w:r>
      <w:r w:rsidR="009859D0" w:rsidRPr="0029022F">
        <w:rPr>
          <w:rFonts w:ascii="仿宋_GB2312" w:eastAsia="仿宋_GB2312" w:hAnsi="仿宋" w:cstheme="minorBidi" w:hint="eastAsia"/>
          <w:sz w:val="30"/>
          <w:szCs w:val="30"/>
        </w:rPr>
        <w:t>）</w:t>
      </w:r>
      <w:r w:rsidRPr="0029022F">
        <w:rPr>
          <w:rFonts w:ascii="仿宋_GB2312" w:eastAsia="仿宋_GB2312" w:hAnsi="仿宋" w:cstheme="minorBidi" w:hint="eastAsia"/>
          <w:sz w:val="30"/>
          <w:szCs w:val="30"/>
        </w:rPr>
        <w:t>，过渡季用电量为19.5亿</w:t>
      </w:r>
      <w:r w:rsidR="005F0786">
        <w:rPr>
          <w:rFonts w:ascii="仿宋_GB2312" w:eastAsia="仿宋_GB2312" w:hAnsi="仿宋" w:cstheme="minorBidi" w:hint="eastAsia"/>
          <w:sz w:val="30"/>
          <w:szCs w:val="30"/>
        </w:rPr>
        <w:t>kWh</w:t>
      </w:r>
      <w:r w:rsidR="009859D0" w:rsidRPr="0029022F">
        <w:rPr>
          <w:rFonts w:ascii="仿宋_GB2312" w:eastAsia="仿宋_GB2312" w:hAnsi="仿宋" w:cstheme="minorBidi" w:hint="eastAsia"/>
          <w:sz w:val="30"/>
          <w:szCs w:val="30"/>
        </w:rPr>
        <w:t>（30.0</w:t>
      </w:r>
      <w:r w:rsidR="005F0786">
        <w:rPr>
          <w:rFonts w:ascii="仿宋_GB2312" w:eastAsia="仿宋_GB2312" w:hAnsi="仿宋" w:cstheme="minorBidi" w:hint="eastAsia"/>
          <w:sz w:val="30"/>
          <w:szCs w:val="30"/>
        </w:rPr>
        <w:t>kWh</w:t>
      </w:r>
      <w:r w:rsidR="009859D0" w:rsidRPr="0029022F">
        <w:rPr>
          <w:rFonts w:ascii="仿宋_GB2312" w:eastAsia="仿宋_GB2312" w:hAnsi="仿宋" w:cstheme="minorBidi" w:hint="eastAsia"/>
          <w:sz w:val="30"/>
          <w:szCs w:val="30"/>
        </w:rPr>
        <w:t>/ m</w:t>
      </w:r>
      <w:r w:rsidR="009859D0" w:rsidRPr="00B36055">
        <w:rPr>
          <w:rFonts w:ascii="仿宋_GB2312" w:eastAsia="仿宋_GB2312" w:hAnsi="仿宋" w:cstheme="minorBidi" w:hint="eastAsia"/>
          <w:sz w:val="30"/>
          <w:szCs w:val="30"/>
          <w:vertAlign w:val="superscript"/>
        </w:rPr>
        <w:t>2</w:t>
      </w:r>
      <w:r w:rsidR="009859D0" w:rsidRPr="0029022F">
        <w:rPr>
          <w:rFonts w:ascii="仿宋_GB2312" w:eastAsia="仿宋_GB2312" w:hAnsi="仿宋" w:cstheme="minorBidi" w:hint="eastAsia"/>
          <w:sz w:val="30"/>
          <w:szCs w:val="30"/>
        </w:rPr>
        <w:t>）</w:t>
      </w:r>
      <w:r w:rsidRPr="0029022F">
        <w:rPr>
          <w:rFonts w:ascii="仿宋_GB2312" w:eastAsia="仿宋_GB2312" w:hAnsi="仿宋" w:cstheme="minorBidi" w:hint="eastAsia"/>
          <w:sz w:val="30"/>
          <w:szCs w:val="30"/>
        </w:rPr>
        <w:t>，制冷季用电量为27.8亿</w:t>
      </w:r>
      <w:r w:rsidR="005F0786">
        <w:rPr>
          <w:rFonts w:ascii="仿宋_GB2312" w:eastAsia="仿宋_GB2312" w:hAnsi="仿宋" w:cstheme="minorBidi" w:hint="eastAsia"/>
          <w:sz w:val="30"/>
          <w:szCs w:val="30"/>
        </w:rPr>
        <w:t>kWh</w:t>
      </w:r>
      <w:r w:rsidR="009859D0" w:rsidRPr="0029022F">
        <w:rPr>
          <w:rFonts w:ascii="仿宋_GB2312" w:eastAsia="仿宋_GB2312" w:hAnsi="仿宋" w:cstheme="minorBidi" w:hint="eastAsia"/>
          <w:sz w:val="30"/>
          <w:szCs w:val="30"/>
        </w:rPr>
        <w:t>（42.7</w:t>
      </w:r>
      <w:r w:rsidR="005F0786">
        <w:rPr>
          <w:rFonts w:ascii="仿宋_GB2312" w:eastAsia="仿宋_GB2312" w:hAnsi="仿宋" w:cstheme="minorBidi" w:hint="eastAsia"/>
          <w:sz w:val="30"/>
          <w:szCs w:val="30"/>
        </w:rPr>
        <w:t>kWh</w:t>
      </w:r>
      <w:r w:rsidR="009859D0" w:rsidRPr="0029022F">
        <w:rPr>
          <w:rFonts w:ascii="仿宋_GB2312" w:eastAsia="仿宋_GB2312" w:hAnsi="仿宋" w:cstheme="minorBidi" w:hint="eastAsia"/>
          <w:sz w:val="30"/>
          <w:szCs w:val="30"/>
        </w:rPr>
        <w:t>/ m</w:t>
      </w:r>
      <w:r w:rsidR="009859D0" w:rsidRPr="00B36055">
        <w:rPr>
          <w:rFonts w:ascii="仿宋_GB2312" w:eastAsia="仿宋_GB2312" w:hAnsi="仿宋" w:cstheme="minorBidi" w:hint="eastAsia"/>
          <w:sz w:val="30"/>
          <w:szCs w:val="30"/>
          <w:vertAlign w:val="superscript"/>
        </w:rPr>
        <w:t>2</w:t>
      </w:r>
      <w:r w:rsidR="009859D0" w:rsidRPr="0029022F">
        <w:rPr>
          <w:rFonts w:ascii="仿宋_GB2312" w:eastAsia="仿宋_GB2312" w:hAnsi="仿宋" w:cstheme="minorBidi" w:hint="eastAsia"/>
          <w:sz w:val="30"/>
          <w:szCs w:val="30"/>
        </w:rPr>
        <w:t>）</w:t>
      </w:r>
      <w:r w:rsidR="00B36055">
        <w:rPr>
          <w:rFonts w:ascii="仿宋_GB2312" w:eastAsia="仿宋_GB2312" w:hAnsi="仿宋" w:cstheme="minorBidi" w:hint="eastAsia"/>
          <w:sz w:val="30"/>
          <w:szCs w:val="30"/>
        </w:rPr>
        <w:t>。制冷季</w:t>
      </w:r>
      <w:r w:rsidRPr="0029022F">
        <w:rPr>
          <w:rFonts w:ascii="仿宋_GB2312" w:eastAsia="仿宋_GB2312" w:hAnsi="仿宋" w:cstheme="minorBidi" w:hint="eastAsia"/>
          <w:sz w:val="30"/>
          <w:szCs w:val="30"/>
        </w:rPr>
        <w:t>用电量最高，约为过渡季的1.4倍。</w:t>
      </w:r>
      <w:r w:rsidR="00A04732">
        <w:rPr>
          <w:rFonts w:ascii="仿宋_GB2312" w:eastAsia="仿宋_GB2312" w:hAnsi="仿宋" w:cstheme="minorBidi" w:hint="eastAsia"/>
          <w:sz w:val="30"/>
          <w:szCs w:val="30"/>
        </w:rPr>
        <w:t>2015-</w:t>
      </w:r>
      <w:r w:rsidR="004E52B1" w:rsidRPr="0029022F">
        <w:rPr>
          <w:rFonts w:ascii="仿宋_GB2312" w:eastAsia="仿宋_GB2312" w:hAnsi="仿宋" w:cstheme="minorBidi" w:hint="eastAsia"/>
          <w:sz w:val="30"/>
          <w:szCs w:val="30"/>
        </w:rPr>
        <w:t>2</w:t>
      </w:r>
      <w:r w:rsidR="004E52B1" w:rsidRPr="0029022F">
        <w:rPr>
          <w:rFonts w:ascii="仿宋_GB2312" w:eastAsia="仿宋_GB2312" w:hAnsi="仿宋" w:cstheme="minorBidi"/>
          <w:sz w:val="30"/>
          <w:szCs w:val="30"/>
        </w:rPr>
        <w:t>016</w:t>
      </w:r>
      <w:r w:rsidR="007D6E52">
        <w:rPr>
          <w:rFonts w:ascii="仿宋_GB2312" w:eastAsia="仿宋_GB2312" w:hAnsi="仿宋" w:cstheme="minorBidi" w:hint="eastAsia"/>
          <w:sz w:val="30"/>
          <w:szCs w:val="30"/>
        </w:rPr>
        <w:t>年</w:t>
      </w:r>
      <w:r w:rsidR="009859D0" w:rsidRPr="0029022F">
        <w:rPr>
          <w:rFonts w:ascii="仿宋_GB2312" w:eastAsia="仿宋_GB2312" w:hAnsi="仿宋" w:cstheme="minorBidi" w:hint="eastAsia"/>
          <w:sz w:val="30"/>
          <w:szCs w:val="30"/>
        </w:rPr>
        <w:t>供热季、过渡季与制冷季</w:t>
      </w:r>
      <w:r w:rsidR="007D6E52">
        <w:rPr>
          <w:rFonts w:ascii="仿宋_GB2312" w:eastAsia="仿宋_GB2312" w:hAnsi="仿宋" w:cstheme="minorBidi" w:hint="eastAsia"/>
          <w:sz w:val="30"/>
          <w:szCs w:val="30"/>
        </w:rPr>
        <w:t>单位面积平均用电量</w:t>
      </w:r>
      <w:r w:rsidR="009859D0" w:rsidRPr="0029022F">
        <w:rPr>
          <w:rFonts w:ascii="仿宋_GB2312" w:eastAsia="仿宋_GB2312" w:hAnsi="仿宋" w:cstheme="minorBidi" w:hint="eastAsia"/>
          <w:sz w:val="30"/>
          <w:szCs w:val="30"/>
        </w:rPr>
        <w:t>如图7所示。</w:t>
      </w:r>
    </w:p>
    <w:p w:rsidR="00626D35" w:rsidRPr="0029022F" w:rsidRDefault="00AC14B8" w:rsidP="00AC14B8">
      <w:pPr>
        <w:spacing w:line="360" w:lineRule="auto"/>
        <w:ind w:firstLineChars="200" w:firstLine="420"/>
        <w:jc w:val="center"/>
        <w:rPr>
          <w:rFonts w:ascii="仿宋_GB2312" w:eastAsia="仿宋_GB2312" w:hAnsi="仿宋" w:cstheme="minorBidi"/>
          <w:sz w:val="30"/>
          <w:szCs w:val="30"/>
        </w:rPr>
      </w:pPr>
      <w:r>
        <w:rPr>
          <w:noProof/>
        </w:rPr>
        <w:lastRenderedPageBreak/>
        <w:drawing>
          <wp:inline distT="0" distB="0" distL="0" distR="0">
            <wp:extent cx="4986655" cy="2580238"/>
            <wp:effectExtent l="0" t="0" r="4445"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26D35" w:rsidRDefault="004E52B1" w:rsidP="00626D35">
      <w:pPr>
        <w:ind w:firstLineChars="200" w:firstLine="480"/>
        <w:jc w:val="center"/>
        <w:rPr>
          <w:rFonts w:ascii="Times New Roman" w:eastAsia="仿宋_GB2312" w:hAnsi="Times New Roman" w:cstheme="majorBidi"/>
          <w:color w:val="000000" w:themeColor="text1"/>
          <w:sz w:val="24"/>
          <w:szCs w:val="24"/>
        </w:rPr>
      </w:pPr>
      <w:r w:rsidRPr="004D58D1">
        <w:rPr>
          <w:rFonts w:ascii="Times New Roman" w:eastAsia="仿宋_GB2312" w:hAnsi="Times New Roman" w:cstheme="majorBidi" w:hint="eastAsia"/>
          <w:color w:val="000000" w:themeColor="text1"/>
          <w:sz w:val="24"/>
          <w:szCs w:val="24"/>
        </w:rPr>
        <w:t>图</w:t>
      </w:r>
      <w:r w:rsidRPr="004D58D1">
        <w:rPr>
          <w:rFonts w:ascii="Times New Roman" w:eastAsia="仿宋_GB2312" w:hAnsi="Times New Roman" w:cstheme="majorBidi"/>
          <w:color w:val="000000" w:themeColor="text1"/>
          <w:sz w:val="24"/>
          <w:szCs w:val="24"/>
        </w:rPr>
        <w:t xml:space="preserve">7 </w:t>
      </w:r>
      <w:r w:rsidR="007D6E52">
        <w:rPr>
          <w:rFonts w:ascii="Times New Roman" w:eastAsia="仿宋_GB2312" w:hAnsi="Times New Roman" w:cstheme="majorBidi"/>
          <w:color w:val="000000" w:themeColor="text1"/>
          <w:sz w:val="24"/>
          <w:szCs w:val="24"/>
        </w:rPr>
        <w:t xml:space="preserve"> 2015</w:t>
      </w:r>
      <w:r w:rsidR="007D6E52">
        <w:rPr>
          <w:rFonts w:ascii="仿宋" w:eastAsia="仿宋" w:hAnsi="仿宋" w:cstheme="majorBidi" w:hint="eastAsia"/>
          <w:color w:val="000000" w:themeColor="text1"/>
          <w:sz w:val="24"/>
          <w:szCs w:val="24"/>
        </w:rPr>
        <w:t>～</w:t>
      </w:r>
      <w:r w:rsidRPr="004D58D1">
        <w:rPr>
          <w:rFonts w:ascii="Times New Roman" w:eastAsia="仿宋_GB2312" w:hAnsi="Times New Roman" w:cstheme="majorBidi"/>
          <w:color w:val="000000" w:themeColor="text1"/>
          <w:sz w:val="24"/>
          <w:szCs w:val="24"/>
        </w:rPr>
        <w:t>2016</w:t>
      </w:r>
      <w:r w:rsidR="00465665">
        <w:rPr>
          <w:rFonts w:ascii="Times New Roman" w:eastAsia="仿宋_GB2312" w:hAnsi="Times New Roman" w:cstheme="majorBidi" w:hint="eastAsia"/>
          <w:color w:val="000000" w:themeColor="text1"/>
          <w:sz w:val="24"/>
          <w:szCs w:val="24"/>
        </w:rPr>
        <w:t>年</w:t>
      </w:r>
      <w:r w:rsidR="001B2B6D">
        <w:rPr>
          <w:rFonts w:ascii="Times New Roman" w:eastAsia="仿宋_GB2312" w:hAnsi="Times New Roman" w:cstheme="majorBidi" w:hint="eastAsia"/>
          <w:color w:val="000000" w:themeColor="text1"/>
          <w:sz w:val="24"/>
          <w:szCs w:val="24"/>
        </w:rPr>
        <w:t>接入</w:t>
      </w:r>
      <w:r w:rsidR="00696491">
        <w:rPr>
          <w:rFonts w:ascii="Times New Roman" w:eastAsia="仿宋_GB2312" w:hAnsi="Times New Roman" w:cstheme="majorBidi" w:hint="eastAsia"/>
          <w:color w:val="000000" w:themeColor="text1"/>
          <w:sz w:val="24"/>
          <w:szCs w:val="24"/>
        </w:rPr>
        <w:t>能耗监测平台</w:t>
      </w:r>
      <w:r w:rsidRPr="004D58D1">
        <w:rPr>
          <w:rFonts w:ascii="Times New Roman" w:eastAsia="仿宋_GB2312" w:hAnsi="Times New Roman" w:cstheme="majorBidi" w:hint="eastAsia"/>
          <w:color w:val="000000" w:themeColor="text1"/>
          <w:sz w:val="24"/>
          <w:szCs w:val="24"/>
        </w:rPr>
        <w:t>建筑</w:t>
      </w:r>
      <w:r w:rsidR="007D6E52">
        <w:rPr>
          <w:rFonts w:ascii="Times New Roman" w:eastAsia="仿宋_GB2312" w:hAnsi="Times New Roman" w:cstheme="majorBidi" w:hint="eastAsia"/>
          <w:color w:val="000000" w:themeColor="text1"/>
          <w:sz w:val="24"/>
          <w:szCs w:val="24"/>
        </w:rPr>
        <w:t>供热</w:t>
      </w:r>
      <w:r w:rsidR="009D0961">
        <w:rPr>
          <w:rFonts w:ascii="Times New Roman" w:eastAsia="仿宋_GB2312" w:hAnsi="Times New Roman" w:cstheme="majorBidi" w:hint="eastAsia"/>
          <w:color w:val="000000" w:themeColor="text1"/>
          <w:sz w:val="24"/>
          <w:szCs w:val="24"/>
        </w:rPr>
        <w:t>季</w:t>
      </w:r>
      <w:r w:rsidR="007D6E52">
        <w:rPr>
          <w:rFonts w:ascii="Times New Roman" w:eastAsia="仿宋_GB2312" w:hAnsi="Times New Roman" w:cstheme="majorBidi" w:hint="eastAsia"/>
          <w:color w:val="000000" w:themeColor="text1"/>
          <w:sz w:val="24"/>
          <w:szCs w:val="24"/>
        </w:rPr>
        <w:t>、制冷</w:t>
      </w:r>
      <w:r w:rsidR="009D0961">
        <w:rPr>
          <w:rFonts w:ascii="Times New Roman" w:eastAsia="仿宋_GB2312" w:hAnsi="Times New Roman" w:cstheme="majorBidi" w:hint="eastAsia"/>
          <w:color w:val="000000" w:themeColor="text1"/>
          <w:sz w:val="24"/>
          <w:szCs w:val="24"/>
        </w:rPr>
        <w:t>季</w:t>
      </w:r>
      <w:r w:rsidR="00E74A3B">
        <w:rPr>
          <w:rFonts w:ascii="Times New Roman" w:eastAsia="仿宋_GB2312" w:hAnsi="Times New Roman" w:cstheme="majorBidi" w:hint="eastAsia"/>
          <w:color w:val="000000" w:themeColor="text1"/>
          <w:sz w:val="24"/>
          <w:szCs w:val="24"/>
        </w:rPr>
        <w:t>、过渡季</w:t>
      </w:r>
    </w:p>
    <w:p w:rsidR="00B36055" w:rsidRPr="004D58D1" w:rsidRDefault="004E52B1" w:rsidP="00DB66EC">
      <w:pPr>
        <w:spacing w:afterLines="50"/>
        <w:ind w:firstLineChars="200" w:firstLine="480"/>
        <w:jc w:val="center"/>
        <w:rPr>
          <w:rFonts w:ascii="Times New Roman" w:eastAsia="仿宋_GB2312" w:hAnsi="Times New Roman" w:cstheme="majorBidi"/>
          <w:color w:val="000000" w:themeColor="text1"/>
          <w:sz w:val="24"/>
          <w:szCs w:val="24"/>
        </w:rPr>
      </w:pPr>
      <w:r w:rsidRPr="004D58D1">
        <w:rPr>
          <w:rFonts w:ascii="Times New Roman" w:eastAsia="仿宋_GB2312" w:hAnsi="Times New Roman" w:cstheme="majorBidi" w:hint="eastAsia"/>
          <w:color w:val="000000" w:themeColor="text1"/>
          <w:sz w:val="24"/>
          <w:szCs w:val="24"/>
        </w:rPr>
        <w:t>用电</w:t>
      </w:r>
      <w:r w:rsidR="007D6E52">
        <w:rPr>
          <w:rFonts w:ascii="Times New Roman" w:eastAsia="仿宋_GB2312" w:hAnsi="Times New Roman" w:cstheme="majorBidi" w:hint="eastAsia"/>
          <w:color w:val="000000" w:themeColor="text1"/>
          <w:sz w:val="24"/>
          <w:szCs w:val="24"/>
        </w:rPr>
        <w:t>量</w:t>
      </w:r>
      <w:r w:rsidRPr="004D58D1">
        <w:rPr>
          <w:rFonts w:ascii="Times New Roman" w:eastAsia="仿宋_GB2312" w:hAnsi="Times New Roman" w:cstheme="majorBidi" w:hint="eastAsia"/>
          <w:color w:val="000000" w:themeColor="text1"/>
          <w:sz w:val="24"/>
          <w:szCs w:val="24"/>
        </w:rPr>
        <w:t>情况</w:t>
      </w:r>
    </w:p>
    <w:p w:rsidR="005053BA" w:rsidRPr="0029022F" w:rsidRDefault="004E52B1" w:rsidP="00E65139">
      <w:pPr>
        <w:spacing w:line="360" w:lineRule="auto"/>
        <w:ind w:firstLineChars="200" w:firstLine="600"/>
        <w:rPr>
          <w:rFonts w:ascii="仿宋_GB2312" w:eastAsia="仿宋_GB2312" w:hAnsi="仿宋" w:cstheme="minorBidi"/>
          <w:sz w:val="30"/>
          <w:szCs w:val="30"/>
        </w:rPr>
      </w:pPr>
      <w:r w:rsidRPr="0029022F">
        <w:rPr>
          <w:rFonts w:ascii="仿宋_GB2312" w:eastAsia="仿宋_GB2312" w:hAnsi="仿宋" w:cstheme="minorBidi" w:hint="eastAsia"/>
          <w:sz w:val="30"/>
          <w:szCs w:val="30"/>
        </w:rPr>
        <w:t>相较于2015</w:t>
      </w:r>
      <w:r w:rsidR="007D6E52">
        <w:rPr>
          <w:rFonts w:ascii="仿宋_GB2312" w:eastAsia="仿宋_GB2312" w:hAnsi="仿宋" w:cstheme="minorBidi" w:hint="eastAsia"/>
          <w:sz w:val="30"/>
          <w:szCs w:val="30"/>
        </w:rPr>
        <w:t>年</w:t>
      </w:r>
      <w:r w:rsidRPr="0029022F">
        <w:rPr>
          <w:rFonts w:ascii="仿宋_GB2312" w:eastAsia="仿宋_GB2312" w:hAnsi="仿宋" w:cstheme="minorBidi" w:hint="eastAsia"/>
          <w:sz w:val="30"/>
          <w:szCs w:val="30"/>
        </w:rPr>
        <w:t>同期情况，2016</w:t>
      </w:r>
      <w:r w:rsidR="007D6E52">
        <w:rPr>
          <w:rFonts w:ascii="仿宋_GB2312" w:eastAsia="仿宋_GB2312" w:hAnsi="仿宋" w:cstheme="minorBidi" w:hint="eastAsia"/>
          <w:sz w:val="30"/>
          <w:szCs w:val="30"/>
        </w:rPr>
        <w:t>年</w:t>
      </w:r>
      <w:r w:rsidRPr="0029022F">
        <w:rPr>
          <w:rFonts w:ascii="仿宋_GB2312" w:eastAsia="仿宋_GB2312" w:hAnsi="仿宋" w:cstheme="minorBidi" w:hint="eastAsia"/>
          <w:sz w:val="30"/>
          <w:szCs w:val="30"/>
        </w:rPr>
        <w:t>制冷季单耗明显大于2015</w:t>
      </w:r>
      <w:r w:rsidR="007D6E52">
        <w:rPr>
          <w:rFonts w:ascii="仿宋_GB2312" w:eastAsia="仿宋_GB2312" w:hAnsi="仿宋" w:cstheme="minorBidi" w:hint="eastAsia"/>
          <w:sz w:val="30"/>
          <w:szCs w:val="30"/>
        </w:rPr>
        <w:t>年</w:t>
      </w:r>
      <w:r w:rsidRPr="0029022F">
        <w:rPr>
          <w:rFonts w:ascii="仿宋_GB2312" w:eastAsia="仿宋_GB2312" w:hAnsi="仿宋" w:cstheme="minorBidi" w:hint="eastAsia"/>
          <w:sz w:val="30"/>
          <w:szCs w:val="30"/>
        </w:rPr>
        <w:t>。主要原因为2016</w:t>
      </w:r>
      <w:r w:rsidR="007D6E52">
        <w:rPr>
          <w:rFonts w:ascii="仿宋_GB2312" w:eastAsia="仿宋_GB2312" w:hAnsi="仿宋" w:cstheme="minorBidi" w:hint="eastAsia"/>
          <w:sz w:val="30"/>
          <w:szCs w:val="30"/>
        </w:rPr>
        <w:t>年</w:t>
      </w:r>
      <w:r w:rsidRPr="0029022F">
        <w:rPr>
          <w:rFonts w:ascii="仿宋_GB2312" w:eastAsia="仿宋_GB2312" w:hAnsi="仿宋" w:cstheme="minorBidi" w:hint="eastAsia"/>
          <w:sz w:val="30"/>
          <w:szCs w:val="30"/>
        </w:rPr>
        <w:t>夏季极端天气明显</w:t>
      </w:r>
      <w:r w:rsidR="00131AAA" w:rsidRPr="0029022F">
        <w:rPr>
          <w:rFonts w:ascii="仿宋_GB2312" w:eastAsia="仿宋_GB2312" w:hAnsi="仿宋" w:cstheme="minorBidi" w:hint="eastAsia"/>
          <w:sz w:val="30"/>
          <w:szCs w:val="30"/>
        </w:rPr>
        <w:t>多</w:t>
      </w:r>
      <w:r w:rsidRPr="0029022F">
        <w:rPr>
          <w:rFonts w:ascii="仿宋_GB2312" w:eastAsia="仿宋_GB2312" w:hAnsi="仿宋" w:cstheme="minorBidi" w:hint="eastAsia"/>
          <w:sz w:val="30"/>
          <w:szCs w:val="30"/>
        </w:rPr>
        <w:t>于2015年，2016</w:t>
      </w:r>
      <w:r w:rsidR="00686CE7">
        <w:rPr>
          <w:rFonts w:ascii="仿宋_GB2312" w:eastAsia="仿宋_GB2312" w:hAnsi="仿宋" w:cstheme="minorBidi" w:hint="eastAsia"/>
          <w:sz w:val="30"/>
          <w:szCs w:val="30"/>
        </w:rPr>
        <w:t>年极端高温日多</w:t>
      </w:r>
      <w:r w:rsidR="00113E58">
        <w:rPr>
          <w:rFonts w:ascii="仿宋_GB2312" w:eastAsia="仿宋_GB2312" w:hAnsi="仿宋" w:cstheme="minorBidi" w:hint="eastAsia"/>
          <w:sz w:val="30"/>
          <w:szCs w:val="30"/>
        </w:rPr>
        <w:t>达</w:t>
      </w:r>
      <w:r w:rsidRPr="0029022F">
        <w:rPr>
          <w:rFonts w:ascii="仿宋_GB2312" w:eastAsia="仿宋_GB2312" w:hAnsi="仿宋" w:cstheme="minorBidi" w:hint="eastAsia"/>
          <w:sz w:val="30"/>
          <w:szCs w:val="30"/>
        </w:rPr>
        <w:t>30天，</w:t>
      </w:r>
      <w:r w:rsidR="00E65139" w:rsidRPr="0029022F">
        <w:rPr>
          <w:rFonts w:ascii="仿宋_GB2312" w:eastAsia="仿宋_GB2312" w:hAnsi="仿宋" w:cstheme="minorBidi" w:hint="eastAsia"/>
          <w:sz w:val="30"/>
          <w:szCs w:val="30"/>
        </w:rPr>
        <w:t>是2015</w:t>
      </w:r>
      <w:r w:rsidR="00B33332">
        <w:rPr>
          <w:rFonts w:ascii="仿宋_GB2312" w:eastAsia="仿宋_GB2312" w:hAnsi="仿宋" w:cstheme="minorBidi" w:hint="eastAsia"/>
          <w:sz w:val="30"/>
          <w:szCs w:val="30"/>
        </w:rPr>
        <w:t>年</w:t>
      </w:r>
      <w:r w:rsidR="00E65139" w:rsidRPr="0029022F">
        <w:rPr>
          <w:rFonts w:ascii="仿宋_GB2312" w:eastAsia="仿宋_GB2312" w:hAnsi="仿宋" w:cstheme="minorBidi" w:hint="eastAsia"/>
          <w:sz w:val="30"/>
          <w:szCs w:val="30"/>
        </w:rPr>
        <w:t>极端高温天数的</w:t>
      </w:r>
      <w:r w:rsidR="007D6E52">
        <w:rPr>
          <w:rFonts w:ascii="仿宋_GB2312" w:eastAsia="仿宋_GB2312" w:hAnsi="仿宋" w:cstheme="minorBidi" w:hint="eastAsia"/>
          <w:sz w:val="30"/>
          <w:szCs w:val="30"/>
        </w:rPr>
        <w:t>近</w:t>
      </w:r>
      <w:r w:rsidR="00113E58">
        <w:rPr>
          <w:rFonts w:ascii="仿宋_GB2312" w:eastAsia="仿宋_GB2312" w:hAnsi="仿宋" w:cstheme="minorBidi" w:hint="eastAsia"/>
          <w:sz w:val="30"/>
          <w:szCs w:val="30"/>
        </w:rPr>
        <w:t>3</w:t>
      </w:r>
      <w:r w:rsidR="00E65139" w:rsidRPr="0029022F">
        <w:rPr>
          <w:rFonts w:ascii="仿宋_GB2312" w:eastAsia="仿宋_GB2312" w:hAnsi="仿宋" w:cstheme="minorBidi" w:hint="eastAsia"/>
          <w:sz w:val="30"/>
          <w:szCs w:val="30"/>
        </w:rPr>
        <w:t>倍。</w:t>
      </w:r>
    </w:p>
    <w:p w:rsidR="00636A78" w:rsidRDefault="00E74A3B" w:rsidP="00E65139">
      <w:pPr>
        <w:spacing w:line="360" w:lineRule="auto"/>
        <w:ind w:firstLineChars="200" w:firstLine="600"/>
        <w:rPr>
          <w:rFonts w:ascii="仿宋_GB2312" w:eastAsia="仿宋_GB2312" w:hAnsi="仿宋" w:cstheme="minorBidi"/>
          <w:sz w:val="30"/>
          <w:szCs w:val="30"/>
        </w:rPr>
      </w:pPr>
      <w:r w:rsidRPr="0029022F">
        <w:rPr>
          <w:rFonts w:ascii="仿宋_GB2312" w:eastAsia="仿宋_GB2312" w:hAnsi="仿宋" w:cstheme="minorBidi" w:hint="eastAsia"/>
          <w:sz w:val="30"/>
          <w:szCs w:val="30"/>
        </w:rPr>
        <w:t>2016</w:t>
      </w:r>
      <w:r w:rsidR="007D6E52">
        <w:rPr>
          <w:rFonts w:ascii="仿宋_GB2312" w:eastAsia="仿宋_GB2312" w:hAnsi="仿宋" w:cstheme="minorBidi" w:hint="eastAsia"/>
          <w:sz w:val="30"/>
          <w:szCs w:val="30"/>
        </w:rPr>
        <w:t>年</w:t>
      </w:r>
      <w:r>
        <w:rPr>
          <w:rFonts w:ascii="仿宋_GB2312" w:eastAsia="仿宋_GB2312" w:hAnsi="仿宋" w:cstheme="minorBidi" w:hint="eastAsia"/>
          <w:sz w:val="30"/>
          <w:szCs w:val="30"/>
        </w:rPr>
        <w:t>接入能耗监测平台</w:t>
      </w:r>
      <w:r w:rsidR="00D034B5">
        <w:rPr>
          <w:rFonts w:ascii="仿宋_GB2312" w:eastAsia="仿宋_GB2312" w:hAnsi="仿宋" w:cstheme="minorBidi" w:hint="eastAsia"/>
          <w:sz w:val="30"/>
          <w:szCs w:val="30"/>
        </w:rPr>
        <w:t>公共</w:t>
      </w:r>
      <w:r w:rsidRPr="0029022F">
        <w:rPr>
          <w:rFonts w:ascii="仿宋_GB2312" w:eastAsia="仿宋_GB2312" w:hAnsi="仿宋" w:cstheme="minorBidi" w:hint="eastAsia"/>
          <w:sz w:val="30"/>
          <w:szCs w:val="30"/>
        </w:rPr>
        <w:t>建筑</w:t>
      </w:r>
      <w:r w:rsidR="00F66A19">
        <w:rPr>
          <w:rFonts w:ascii="仿宋_GB2312" w:eastAsia="仿宋_GB2312" w:hAnsi="仿宋" w:cstheme="minorBidi" w:hint="eastAsia"/>
          <w:sz w:val="30"/>
          <w:szCs w:val="30"/>
        </w:rPr>
        <w:t>主要</w:t>
      </w:r>
      <w:r w:rsidR="00F66A19">
        <w:rPr>
          <w:rFonts w:ascii="仿宋_GB2312" w:eastAsia="仿宋_GB2312" w:hAnsi="仿宋" w:cstheme="minorBidi"/>
          <w:sz w:val="30"/>
          <w:szCs w:val="30"/>
        </w:rPr>
        <w:t>用能分项</w:t>
      </w:r>
      <w:r w:rsidR="00D034B5">
        <w:rPr>
          <w:rFonts w:ascii="仿宋_GB2312" w:eastAsia="仿宋_GB2312" w:hAnsi="仿宋" w:cstheme="minorBidi" w:hint="eastAsia"/>
          <w:sz w:val="30"/>
          <w:szCs w:val="30"/>
        </w:rPr>
        <w:t>，其在</w:t>
      </w:r>
      <w:r>
        <w:rPr>
          <w:rFonts w:ascii="仿宋_GB2312" w:eastAsia="仿宋_GB2312" w:hAnsi="仿宋" w:cstheme="minorBidi" w:hint="eastAsia"/>
          <w:sz w:val="30"/>
          <w:szCs w:val="30"/>
        </w:rPr>
        <w:t>制冷季、供热季、过渡季用电</w:t>
      </w:r>
      <w:r w:rsidRPr="0029022F">
        <w:rPr>
          <w:rFonts w:ascii="仿宋_GB2312" w:eastAsia="仿宋_GB2312" w:hAnsi="仿宋" w:cstheme="minorBidi" w:hint="eastAsia"/>
          <w:sz w:val="30"/>
          <w:szCs w:val="30"/>
        </w:rPr>
        <w:t>量</w:t>
      </w:r>
      <w:r>
        <w:rPr>
          <w:rFonts w:ascii="仿宋_GB2312" w:eastAsia="仿宋_GB2312" w:hAnsi="仿宋" w:cstheme="minorBidi" w:hint="eastAsia"/>
          <w:sz w:val="30"/>
          <w:szCs w:val="30"/>
        </w:rPr>
        <w:t>情况</w:t>
      </w:r>
      <w:r w:rsidRPr="0029022F">
        <w:rPr>
          <w:rFonts w:ascii="仿宋_GB2312" w:eastAsia="仿宋_GB2312" w:hAnsi="仿宋" w:cstheme="minorBidi" w:hint="eastAsia"/>
          <w:sz w:val="30"/>
          <w:szCs w:val="30"/>
        </w:rPr>
        <w:t>如图8所示。</w:t>
      </w:r>
      <w:r w:rsidR="000769AB" w:rsidRPr="0029022F">
        <w:rPr>
          <w:rFonts w:ascii="仿宋_GB2312" w:eastAsia="仿宋_GB2312" w:hAnsi="仿宋" w:cstheme="minorBidi" w:hint="eastAsia"/>
          <w:sz w:val="30"/>
          <w:szCs w:val="30"/>
        </w:rPr>
        <w:t>照明</w:t>
      </w:r>
      <w:r w:rsidR="007D6E52">
        <w:rPr>
          <w:rFonts w:ascii="仿宋_GB2312" w:eastAsia="仿宋_GB2312" w:hAnsi="仿宋" w:cstheme="minorBidi" w:hint="eastAsia"/>
          <w:sz w:val="30"/>
          <w:szCs w:val="30"/>
        </w:rPr>
        <w:t>与</w:t>
      </w:r>
      <w:r w:rsidR="000769AB" w:rsidRPr="0029022F">
        <w:rPr>
          <w:rFonts w:ascii="仿宋_GB2312" w:eastAsia="仿宋_GB2312" w:hAnsi="仿宋" w:cstheme="minorBidi" w:hint="eastAsia"/>
          <w:sz w:val="30"/>
          <w:szCs w:val="30"/>
        </w:rPr>
        <w:t>插座</w:t>
      </w:r>
      <w:r w:rsidR="00F66A19">
        <w:rPr>
          <w:rFonts w:ascii="仿宋_GB2312" w:eastAsia="仿宋_GB2312" w:hAnsi="仿宋" w:cstheme="minorBidi" w:hint="eastAsia"/>
          <w:sz w:val="30"/>
          <w:szCs w:val="30"/>
        </w:rPr>
        <w:t>用电</w:t>
      </w:r>
      <w:r w:rsidR="000769AB" w:rsidRPr="0029022F">
        <w:rPr>
          <w:rFonts w:ascii="仿宋_GB2312" w:eastAsia="仿宋_GB2312" w:hAnsi="仿宋" w:cstheme="minorBidi" w:hint="eastAsia"/>
          <w:sz w:val="30"/>
          <w:szCs w:val="30"/>
        </w:rPr>
        <w:t>、动力</w:t>
      </w:r>
      <w:r w:rsidR="00F66A19">
        <w:rPr>
          <w:rFonts w:ascii="仿宋_GB2312" w:eastAsia="仿宋_GB2312" w:hAnsi="仿宋" w:cstheme="minorBidi" w:hint="eastAsia"/>
          <w:sz w:val="30"/>
          <w:szCs w:val="30"/>
        </w:rPr>
        <w:t>用电</w:t>
      </w:r>
      <w:r w:rsidR="000769AB" w:rsidRPr="0029022F">
        <w:rPr>
          <w:rFonts w:ascii="仿宋_GB2312" w:eastAsia="仿宋_GB2312" w:hAnsi="仿宋" w:cstheme="minorBidi" w:hint="eastAsia"/>
          <w:sz w:val="30"/>
          <w:szCs w:val="30"/>
        </w:rPr>
        <w:t>、特殊</w:t>
      </w:r>
      <w:r w:rsidR="00F66A19">
        <w:rPr>
          <w:rFonts w:ascii="仿宋_GB2312" w:eastAsia="仿宋_GB2312" w:hAnsi="仿宋" w:cstheme="minorBidi" w:hint="eastAsia"/>
          <w:sz w:val="30"/>
          <w:szCs w:val="30"/>
        </w:rPr>
        <w:t>用电</w:t>
      </w:r>
      <w:r w:rsidR="000769AB" w:rsidRPr="0029022F">
        <w:rPr>
          <w:rFonts w:ascii="仿宋_GB2312" w:eastAsia="仿宋_GB2312" w:hAnsi="仿宋" w:cstheme="minorBidi" w:hint="eastAsia"/>
          <w:sz w:val="30"/>
          <w:szCs w:val="30"/>
        </w:rPr>
        <w:t>分项在供热季、制冷季及</w:t>
      </w:r>
      <w:r w:rsidR="00F66A19">
        <w:rPr>
          <w:rFonts w:ascii="仿宋_GB2312" w:eastAsia="仿宋_GB2312" w:hAnsi="仿宋" w:cstheme="minorBidi" w:hint="eastAsia"/>
          <w:sz w:val="30"/>
          <w:szCs w:val="30"/>
        </w:rPr>
        <w:t>过渡</w:t>
      </w:r>
      <w:r w:rsidR="000769AB" w:rsidRPr="0029022F">
        <w:rPr>
          <w:rFonts w:ascii="仿宋_GB2312" w:eastAsia="仿宋_GB2312" w:hAnsi="仿宋" w:cstheme="minorBidi" w:hint="eastAsia"/>
          <w:sz w:val="30"/>
          <w:szCs w:val="30"/>
        </w:rPr>
        <w:t>季用电量基本不变，全年</w:t>
      </w:r>
      <w:r w:rsidR="009E14E2">
        <w:rPr>
          <w:rFonts w:ascii="仿宋_GB2312" w:eastAsia="仿宋_GB2312" w:hAnsi="仿宋" w:cstheme="minorBidi" w:hint="eastAsia"/>
          <w:sz w:val="30"/>
          <w:szCs w:val="30"/>
        </w:rPr>
        <w:t>用电量</w:t>
      </w:r>
      <w:r w:rsidR="000769AB" w:rsidRPr="0029022F">
        <w:rPr>
          <w:rFonts w:ascii="仿宋_GB2312" w:eastAsia="仿宋_GB2312" w:hAnsi="仿宋" w:cstheme="minorBidi" w:hint="eastAsia"/>
          <w:sz w:val="30"/>
          <w:szCs w:val="30"/>
        </w:rPr>
        <w:t>比较稳定</w:t>
      </w:r>
      <w:r w:rsidR="00D034B5">
        <w:rPr>
          <w:rFonts w:ascii="仿宋_GB2312" w:eastAsia="仿宋_GB2312" w:hAnsi="仿宋" w:cstheme="minorBidi" w:hint="eastAsia"/>
          <w:sz w:val="30"/>
          <w:szCs w:val="30"/>
        </w:rPr>
        <w:t>，</w:t>
      </w:r>
      <w:r w:rsidR="00D034B5" w:rsidRPr="0029022F">
        <w:rPr>
          <w:rFonts w:ascii="仿宋_GB2312" w:eastAsia="仿宋_GB2312" w:hAnsi="仿宋" w:cstheme="minorBidi" w:hint="eastAsia"/>
          <w:sz w:val="30"/>
          <w:szCs w:val="30"/>
        </w:rPr>
        <w:t>体现了这些分项用电</w:t>
      </w:r>
      <w:r w:rsidR="00D034B5">
        <w:rPr>
          <w:rFonts w:ascii="仿宋_GB2312" w:eastAsia="仿宋_GB2312" w:hAnsi="仿宋" w:cstheme="minorBidi" w:hint="eastAsia"/>
          <w:sz w:val="30"/>
          <w:szCs w:val="30"/>
        </w:rPr>
        <w:t>的</w:t>
      </w:r>
      <w:r w:rsidR="00D034B5" w:rsidRPr="0029022F">
        <w:rPr>
          <w:rFonts w:ascii="仿宋_GB2312" w:eastAsia="仿宋_GB2312" w:hAnsi="仿宋" w:cstheme="minorBidi" w:hint="eastAsia"/>
          <w:sz w:val="30"/>
          <w:szCs w:val="30"/>
        </w:rPr>
        <w:t>非季节性</w:t>
      </w:r>
      <w:r w:rsidR="000769AB" w:rsidRPr="0029022F">
        <w:rPr>
          <w:rFonts w:ascii="仿宋_GB2312" w:eastAsia="仿宋_GB2312" w:hAnsi="仿宋" w:cstheme="minorBidi" w:hint="eastAsia"/>
          <w:sz w:val="30"/>
          <w:szCs w:val="30"/>
        </w:rPr>
        <w:t>；空调分项用电量变化较大，制冷季耗电量最多，</w:t>
      </w:r>
      <w:r w:rsidR="00D034B5" w:rsidRPr="0029022F">
        <w:rPr>
          <w:rFonts w:ascii="仿宋_GB2312" w:eastAsia="仿宋_GB2312" w:hAnsi="仿宋" w:cstheme="minorBidi" w:hint="eastAsia"/>
          <w:sz w:val="30"/>
          <w:szCs w:val="30"/>
        </w:rPr>
        <w:t>全年</w:t>
      </w:r>
      <w:r w:rsidR="00D034B5">
        <w:rPr>
          <w:rFonts w:ascii="仿宋_GB2312" w:eastAsia="仿宋_GB2312" w:hAnsi="仿宋" w:cstheme="minorBidi" w:hint="eastAsia"/>
          <w:sz w:val="30"/>
          <w:szCs w:val="30"/>
        </w:rPr>
        <w:t>用电量</w:t>
      </w:r>
      <w:r w:rsidR="00D034B5" w:rsidRPr="0029022F">
        <w:rPr>
          <w:rFonts w:ascii="仿宋_GB2312" w:eastAsia="仿宋_GB2312" w:hAnsi="仿宋" w:cstheme="minorBidi" w:hint="eastAsia"/>
          <w:sz w:val="30"/>
          <w:szCs w:val="30"/>
        </w:rPr>
        <w:t>受气温影响较大</w:t>
      </w:r>
      <w:r w:rsidR="00D034B5">
        <w:rPr>
          <w:rFonts w:ascii="仿宋_GB2312" w:eastAsia="仿宋_GB2312" w:hAnsi="仿宋" w:cstheme="minorBidi" w:hint="eastAsia"/>
          <w:sz w:val="30"/>
          <w:szCs w:val="30"/>
        </w:rPr>
        <w:t>，</w:t>
      </w:r>
      <w:r w:rsidR="000769AB" w:rsidRPr="0029022F">
        <w:rPr>
          <w:rFonts w:ascii="仿宋_GB2312" w:eastAsia="仿宋_GB2312" w:hAnsi="仿宋" w:cstheme="minorBidi" w:hint="eastAsia"/>
          <w:sz w:val="30"/>
          <w:szCs w:val="30"/>
        </w:rPr>
        <w:t>体现了空调用电的季节性。</w:t>
      </w:r>
    </w:p>
    <w:p w:rsidR="003711FA" w:rsidRPr="0029022F" w:rsidRDefault="005940E9" w:rsidP="005940E9">
      <w:pPr>
        <w:spacing w:line="360" w:lineRule="auto"/>
        <w:jc w:val="center"/>
        <w:rPr>
          <w:rFonts w:ascii="仿宋_GB2312" w:eastAsia="仿宋_GB2312" w:hAnsi="仿宋" w:cstheme="minorBidi"/>
          <w:sz w:val="30"/>
          <w:szCs w:val="30"/>
        </w:rPr>
      </w:pPr>
      <w:r w:rsidRPr="005940E9">
        <w:rPr>
          <w:rFonts w:ascii="Times New Roman" w:eastAsia="仿宋_GB2312" w:hAnsi="Times New Roman"/>
          <w:noProof/>
          <w:color w:val="000000" w:themeColor="text1"/>
          <w:sz w:val="20"/>
          <w:szCs w:val="20"/>
        </w:rPr>
        <w:lastRenderedPageBreak/>
        <w:drawing>
          <wp:inline distT="0" distB="0" distL="0" distR="0">
            <wp:extent cx="4997513" cy="2480649"/>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034B5" w:rsidRPr="009C7AA7" w:rsidRDefault="00C80281" w:rsidP="00DB66EC">
      <w:pPr>
        <w:spacing w:afterLines="100"/>
        <w:jc w:val="center"/>
        <w:rPr>
          <w:rFonts w:ascii="Times New Roman" w:eastAsia="仿宋_GB2312" w:hAnsi="Times New Roman" w:cstheme="majorBidi"/>
          <w:color w:val="000000" w:themeColor="text1"/>
          <w:sz w:val="24"/>
          <w:szCs w:val="24"/>
        </w:rPr>
      </w:pPr>
      <w:r w:rsidRPr="004D58D1">
        <w:rPr>
          <w:rFonts w:ascii="Times New Roman" w:eastAsia="仿宋_GB2312" w:hAnsi="Times New Roman" w:cstheme="majorBidi" w:hint="eastAsia"/>
          <w:color w:val="000000" w:themeColor="text1"/>
          <w:sz w:val="24"/>
          <w:szCs w:val="24"/>
        </w:rPr>
        <w:t>图</w:t>
      </w:r>
      <w:r w:rsidRPr="004D58D1">
        <w:rPr>
          <w:rFonts w:ascii="Times New Roman" w:eastAsia="仿宋_GB2312" w:hAnsi="Times New Roman" w:cstheme="majorBidi" w:hint="eastAsia"/>
          <w:color w:val="000000" w:themeColor="text1"/>
          <w:sz w:val="24"/>
          <w:szCs w:val="24"/>
        </w:rPr>
        <w:t>8 2016</w:t>
      </w:r>
      <w:r w:rsidR="00465665">
        <w:rPr>
          <w:rFonts w:ascii="Times New Roman" w:eastAsia="仿宋_GB2312" w:hAnsi="Times New Roman" w:cstheme="majorBidi" w:hint="eastAsia"/>
          <w:color w:val="000000" w:themeColor="text1"/>
          <w:sz w:val="24"/>
          <w:szCs w:val="24"/>
        </w:rPr>
        <w:t>年</w:t>
      </w:r>
      <w:r w:rsidR="004259BB">
        <w:rPr>
          <w:rFonts w:ascii="Times New Roman" w:eastAsia="仿宋_GB2312" w:hAnsi="Times New Roman" w:cstheme="majorBidi" w:hint="eastAsia"/>
          <w:color w:val="000000" w:themeColor="text1"/>
          <w:sz w:val="24"/>
          <w:szCs w:val="24"/>
        </w:rPr>
        <w:t>接入</w:t>
      </w:r>
      <w:r w:rsidR="00696491">
        <w:rPr>
          <w:rFonts w:ascii="Times New Roman" w:eastAsia="仿宋_GB2312" w:hAnsi="Times New Roman" w:cstheme="majorBidi" w:hint="eastAsia"/>
          <w:color w:val="000000" w:themeColor="text1"/>
          <w:sz w:val="24"/>
          <w:szCs w:val="24"/>
        </w:rPr>
        <w:t>能耗监测平台</w:t>
      </w:r>
      <w:r w:rsidR="00D034B5">
        <w:rPr>
          <w:rFonts w:ascii="Times New Roman" w:eastAsia="仿宋_GB2312" w:hAnsi="Times New Roman" w:cstheme="majorBidi" w:hint="eastAsia"/>
          <w:color w:val="000000" w:themeColor="text1"/>
          <w:sz w:val="24"/>
          <w:szCs w:val="24"/>
        </w:rPr>
        <w:t>公共</w:t>
      </w:r>
      <w:r w:rsidR="0021525C">
        <w:rPr>
          <w:rFonts w:ascii="Times New Roman" w:eastAsia="仿宋_GB2312" w:hAnsi="Times New Roman" w:cstheme="majorBidi" w:hint="eastAsia"/>
          <w:color w:val="000000" w:themeColor="text1"/>
          <w:sz w:val="24"/>
          <w:szCs w:val="24"/>
        </w:rPr>
        <w:t>建筑</w:t>
      </w:r>
      <w:r w:rsidR="00F66A19">
        <w:rPr>
          <w:rFonts w:ascii="Times New Roman" w:eastAsia="仿宋_GB2312" w:hAnsi="Times New Roman" w:cstheme="majorBidi" w:hint="eastAsia"/>
          <w:color w:val="000000" w:themeColor="text1"/>
          <w:sz w:val="24"/>
          <w:szCs w:val="24"/>
        </w:rPr>
        <w:t>主要</w:t>
      </w:r>
      <w:r w:rsidR="00F66A19">
        <w:rPr>
          <w:rFonts w:ascii="Times New Roman" w:eastAsia="仿宋_GB2312" w:hAnsi="Times New Roman" w:cstheme="majorBidi"/>
          <w:color w:val="000000" w:themeColor="text1"/>
          <w:sz w:val="24"/>
          <w:szCs w:val="24"/>
        </w:rPr>
        <w:t>用能</w:t>
      </w:r>
      <w:r w:rsidR="0021525C">
        <w:rPr>
          <w:rFonts w:ascii="Times New Roman" w:eastAsia="仿宋_GB2312" w:hAnsi="Times New Roman" w:cstheme="majorBidi" w:hint="eastAsia"/>
          <w:color w:val="000000" w:themeColor="text1"/>
          <w:sz w:val="24"/>
          <w:szCs w:val="24"/>
        </w:rPr>
        <w:t>分项</w:t>
      </w:r>
      <w:r w:rsidR="00D034B5">
        <w:rPr>
          <w:rFonts w:ascii="Times New Roman" w:eastAsia="仿宋_GB2312" w:hAnsi="Times New Roman" w:cstheme="majorBidi" w:hint="eastAsia"/>
          <w:color w:val="000000" w:themeColor="text1"/>
          <w:sz w:val="24"/>
          <w:szCs w:val="24"/>
        </w:rPr>
        <w:t>，其在</w:t>
      </w:r>
      <w:r w:rsidR="007D6E52">
        <w:rPr>
          <w:rFonts w:ascii="Times New Roman" w:eastAsia="仿宋_GB2312" w:hAnsi="Times New Roman" w:cstheme="majorBidi" w:hint="eastAsia"/>
          <w:color w:val="000000" w:themeColor="text1"/>
          <w:sz w:val="24"/>
          <w:szCs w:val="24"/>
        </w:rPr>
        <w:t>制冷</w:t>
      </w:r>
      <w:r w:rsidR="00F66A19">
        <w:rPr>
          <w:rFonts w:ascii="Times New Roman" w:eastAsia="仿宋_GB2312" w:hAnsi="Times New Roman" w:cstheme="majorBidi" w:hint="eastAsia"/>
          <w:color w:val="000000" w:themeColor="text1"/>
          <w:sz w:val="24"/>
          <w:szCs w:val="24"/>
        </w:rPr>
        <w:t>季</w:t>
      </w:r>
      <w:r w:rsidR="007D6E52">
        <w:rPr>
          <w:rFonts w:ascii="Times New Roman" w:eastAsia="仿宋_GB2312" w:hAnsi="Times New Roman" w:cstheme="majorBidi" w:hint="eastAsia"/>
          <w:color w:val="000000" w:themeColor="text1"/>
          <w:sz w:val="24"/>
          <w:szCs w:val="24"/>
        </w:rPr>
        <w:t>、供热</w:t>
      </w:r>
      <w:r w:rsidR="00F66A19">
        <w:rPr>
          <w:rFonts w:ascii="Times New Roman" w:eastAsia="仿宋_GB2312" w:hAnsi="Times New Roman" w:cstheme="majorBidi" w:hint="eastAsia"/>
          <w:color w:val="000000" w:themeColor="text1"/>
          <w:sz w:val="24"/>
          <w:szCs w:val="24"/>
        </w:rPr>
        <w:t>季</w:t>
      </w:r>
      <w:r w:rsidR="004259BB">
        <w:rPr>
          <w:rFonts w:ascii="Times New Roman" w:eastAsia="仿宋_GB2312" w:hAnsi="Times New Roman" w:cstheme="majorBidi" w:hint="eastAsia"/>
          <w:color w:val="000000" w:themeColor="text1"/>
          <w:sz w:val="24"/>
          <w:szCs w:val="24"/>
        </w:rPr>
        <w:t>、过渡季</w:t>
      </w:r>
      <w:r w:rsidR="00D034B5">
        <w:rPr>
          <w:rFonts w:ascii="Times New Roman" w:eastAsia="仿宋_GB2312" w:hAnsi="Times New Roman" w:cstheme="majorBidi" w:hint="eastAsia"/>
          <w:color w:val="000000" w:themeColor="text1"/>
          <w:sz w:val="24"/>
          <w:szCs w:val="24"/>
        </w:rPr>
        <w:t>用电量情况</w:t>
      </w:r>
    </w:p>
    <w:p w:rsidR="005053BA" w:rsidRPr="006F32DD" w:rsidRDefault="00131AAA" w:rsidP="005940E9">
      <w:pPr>
        <w:pStyle w:val="3"/>
        <w:spacing w:before="0" w:after="0" w:line="360" w:lineRule="auto"/>
        <w:rPr>
          <w:rFonts w:ascii="黑体" w:eastAsia="黑体" w:hAnsi="黑体" w:cstheme="minorBidi"/>
          <w:bCs w:val="0"/>
          <w:sz w:val="30"/>
          <w:szCs w:val="30"/>
        </w:rPr>
      </w:pPr>
      <w:bookmarkStart w:id="9" w:name="_Toc479753001"/>
      <w:r w:rsidRPr="006F32DD">
        <w:rPr>
          <w:rFonts w:ascii="黑体" w:eastAsia="黑体" w:hAnsi="黑体" w:cstheme="minorBidi"/>
          <w:bCs w:val="0"/>
          <w:sz w:val="30"/>
          <w:szCs w:val="30"/>
        </w:rPr>
        <w:t>2</w:t>
      </w:r>
      <w:r w:rsidR="00AC75D1">
        <w:rPr>
          <w:rFonts w:ascii="黑体" w:eastAsia="黑体" w:hAnsi="黑体" w:cstheme="minorBidi" w:hint="eastAsia"/>
          <w:bCs w:val="0"/>
          <w:sz w:val="30"/>
          <w:szCs w:val="30"/>
        </w:rPr>
        <w:t>、</w:t>
      </w:r>
      <w:r w:rsidR="00C80281" w:rsidRPr="006F32DD">
        <w:rPr>
          <w:rFonts w:ascii="黑体" w:eastAsia="黑体" w:hAnsi="黑体" w:cstheme="minorBidi" w:hint="eastAsia"/>
          <w:bCs w:val="0"/>
          <w:sz w:val="30"/>
          <w:szCs w:val="30"/>
        </w:rPr>
        <w:t>能耗指数</w:t>
      </w:r>
      <w:bookmarkEnd w:id="9"/>
    </w:p>
    <w:p w:rsidR="00EE017D" w:rsidRDefault="00EE017D" w:rsidP="00DB73A9">
      <w:pPr>
        <w:spacing w:line="360" w:lineRule="auto"/>
        <w:ind w:firstLineChars="200" w:firstLine="600"/>
        <w:rPr>
          <w:rFonts w:ascii="仿宋_GB2312" w:eastAsia="仿宋_GB2312" w:hAnsi="仿宋" w:cstheme="minorBidi"/>
          <w:sz w:val="30"/>
          <w:szCs w:val="30"/>
        </w:rPr>
      </w:pPr>
      <w:r>
        <w:rPr>
          <w:rFonts w:ascii="仿宋_GB2312" w:eastAsia="仿宋_GB2312" w:hAnsi="仿宋" w:hint="eastAsia"/>
          <w:sz w:val="30"/>
          <w:szCs w:val="30"/>
        </w:rPr>
        <w:t>能耗指数是接入能耗监测平台的</w:t>
      </w:r>
      <w:r w:rsidRPr="00272C6D">
        <w:rPr>
          <w:rFonts w:ascii="仿宋_GB2312" w:eastAsia="仿宋_GB2312" w:hAnsi="仿宋" w:hint="eastAsia"/>
          <w:sz w:val="30"/>
          <w:szCs w:val="30"/>
        </w:rPr>
        <w:t>公共建筑</w:t>
      </w:r>
      <w:r w:rsidR="00D034B5">
        <w:rPr>
          <w:rFonts w:ascii="仿宋_GB2312" w:eastAsia="仿宋_GB2312" w:hAnsi="仿宋" w:hint="eastAsia"/>
          <w:sz w:val="30"/>
          <w:szCs w:val="30"/>
        </w:rPr>
        <w:t>，其</w:t>
      </w:r>
      <w:r>
        <w:rPr>
          <w:rFonts w:ascii="仿宋_GB2312" w:eastAsia="仿宋_GB2312" w:hAnsi="仿宋" w:hint="eastAsia"/>
          <w:sz w:val="30"/>
          <w:szCs w:val="30"/>
        </w:rPr>
        <w:t>能耗全年逐日</w:t>
      </w:r>
      <w:r w:rsidRPr="00272C6D">
        <w:rPr>
          <w:rFonts w:ascii="仿宋_GB2312" w:eastAsia="仿宋_GB2312" w:hAnsi="仿宋" w:hint="eastAsia"/>
          <w:sz w:val="30"/>
          <w:szCs w:val="30"/>
        </w:rPr>
        <w:t>用能强度</w:t>
      </w:r>
      <w:r>
        <w:rPr>
          <w:rFonts w:ascii="仿宋_GB2312" w:eastAsia="仿宋_GB2312" w:hAnsi="仿宋" w:hint="eastAsia"/>
          <w:sz w:val="30"/>
          <w:szCs w:val="30"/>
        </w:rPr>
        <w:t>走向</w:t>
      </w:r>
      <w:r w:rsidRPr="00272C6D">
        <w:rPr>
          <w:rFonts w:ascii="仿宋_GB2312" w:eastAsia="仿宋_GB2312" w:hAnsi="仿宋" w:hint="eastAsia"/>
          <w:sz w:val="30"/>
          <w:szCs w:val="30"/>
        </w:rPr>
        <w:t>的评价指标，即公共建筑当日用能单耗值与基准值的比值，以简单易懂的方式表达公共建筑用能强度的变化趋势</w:t>
      </w:r>
      <w:r w:rsidR="00105EAE">
        <w:rPr>
          <w:rFonts w:ascii="仿宋_GB2312" w:eastAsia="仿宋_GB2312" w:hAnsi="仿宋" w:hint="eastAsia"/>
          <w:sz w:val="30"/>
          <w:szCs w:val="30"/>
        </w:rPr>
        <w:t>，</w:t>
      </w:r>
      <w:r w:rsidR="00105EAE">
        <w:rPr>
          <w:rFonts w:ascii="仿宋_GB2312" w:eastAsia="仿宋_GB2312" w:hAnsi="仿宋" w:cstheme="minorBidi" w:hint="eastAsia"/>
          <w:sz w:val="30"/>
          <w:szCs w:val="30"/>
        </w:rPr>
        <w:t>观察用电量情况</w:t>
      </w:r>
      <w:r w:rsidR="00D034B5">
        <w:rPr>
          <w:rFonts w:ascii="仿宋_GB2312" w:eastAsia="仿宋_GB2312" w:hAnsi="仿宋" w:cstheme="minorBidi" w:hint="eastAsia"/>
          <w:sz w:val="30"/>
          <w:szCs w:val="30"/>
        </w:rPr>
        <w:t>趋势</w:t>
      </w:r>
      <w:r w:rsidR="00105EAE">
        <w:rPr>
          <w:rFonts w:ascii="仿宋_GB2312" w:eastAsia="仿宋_GB2312" w:hAnsi="仿宋" w:cstheme="minorBidi" w:hint="eastAsia"/>
          <w:sz w:val="30"/>
          <w:szCs w:val="30"/>
        </w:rPr>
        <w:t>走向</w:t>
      </w:r>
      <w:r>
        <w:rPr>
          <w:rFonts w:ascii="仿宋_GB2312" w:eastAsia="仿宋_GB2312" w:hAnsi="仿宋" w:hint="eastAsia"/>
          <w:sz w:val="30"/>
          <w:szCs w:val="30"/>
        </w:rPr>
        <w:t>。</w:t>
      </w:r>
    </w:p>
    <w:p w:rsidR="006E0D15" w:rsidRDefault="006E0D15" w:rsidP="00DB73A9">
      <w:pPr>
        <w:spacing w:line="360" w:lineRule="auto"/>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能耗指数计算方法如下所示：</w:t>
      </w:r>
    </w:p>
    <w:p w:rsidR="00AC75D1" w:rsidRDefault="006E0D15" w:rsidP="00DB73A9">
      <w:pPr>
        <w:spacing w:line="360" w:lineRule="auto"/>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（1）</w:t>
      </w:r>
      <w:r w:rsidR="00AA267E">
        <w:rPr>
          <w:rFonts w:ascii="仿宋_GB2312" w:eastAsia="仿宋_GB2312" w:hAnsi="仿宋" w:cstheme="minorBidi" w:hint="eastAsia"/>
          <w:sz w:val="30"/>
          <w:szCs w:val="30"/>
        </w:rPr>
        <w:t>按照全市各类型</w:t>
      </w:r>
      <w:r w:rsidR="008A35D3">
        <w:rPr>
          <w:rFonts w:ascii="仿宋_GB2312" w:eastAsia="仿宋_GB2312" w:hAnsi="仿宋" w:cstheme="minorBidi" w:hint="eastAsia"/>
          <w:sz w:val="30"/>
          <w:szCs w:val="30"/>
        </w:rPr>
        <w:t>建筑</w:t>
      </w:r>
      <w:r w:rsidR="00AA267E">
        <w:rPr>
          <w:rFonts w:ascii="仿宋_GB2312" w:eastAsia="仿宋_GB2312" w:hAnsi="仿宋" w:cstheme="minorBidi" w:hint="eastAsia"/>
          <w:sz w:val="30"/>
          <w:szCs w:val="30"/>
        </w:rPr>
        <w:t>占比，选取一定量的典型建筑形成固定样本，用于能耗指数的计算</w:t>
      </w:r>
      <w:r w:rsidR="00890987">
        <w:rPr>
          <w:rFonts w:ascii="仿宋_GB2312" w:eastAsia="仿宋_GB2312" w:hAnsi="仿宋" w:cstheme="minorBidi" w:hint="eastAsia"/>
          <w:sz w:val="30"/>
          <w:szCs w:val="30"/>
        </w:rPr>
        <w:t>；</w:t>
      </w:r>
    </w:p>
    <w:p w:rsidR="00AA267E" w:rsidRPr="00AA267E" w:rsidRDefault="00AA267E" w:rsidP="00AA267E">
      <w:pPr>
        <w:spacing w:line="360" w:lineRule="auto"/>
        <w:ind w:firstLineChars="200" w:firstLine="600"/>
        <w:rPr>
          <w:rFonts w:ascii="仿宋_GB2312" w:eastAsia="仿宋_GB2312" w:hAnsi="仿宋" w:cstheme="minorBidi"/>
          <w:sz w:val="30"/>
          <w:szCs w:val="30"/>
        </w:rPr>
      </w:pPr>
      <w:r w:rsidRPr="00AA267E">
        <w:rPr>
          <w:rFonts w:ascii="仿宋_GB2312" w:eastAsia="仿宋_GB2312" w:hAnsi="仿宋" w:cstheme="minorBidi" w:hint="eastAsia"/>
          <w:sz w:val="30"/>
          <w:szCs w:val="30"/>
        </w:rPr>
        <w:t>（2）</w:t>
      </w:r>
      <w:r>
        <w:rPr>
          <w:rFonts w:ascii="仿宋_GB2312" w:eastAsia="仿宋_GB2312" w:hAnsi="仿宋" w:cstheme="minorBidi" w:hint="eastAsia"/>
          <w:sz w:val="30"/>
          <w:szCs w:val="30"/>
        </w:rPr>
        <w:t>当日单位面积能耗</w:t>
      </w:r>
      <w:r w:rsidRPr="00AA267E">
        <w:rPr>
          <w:rFonts w:ascii="仿宋_GB2312" w:eastAsia="仿宋_GB2312" w:hAnsi="仿宋" w:cstheme="minorBidi" w:hint="eastAsia"/>
          <w:sz w:val="30"/>
          <w:szCs w:val="30"/>
        </w:rPr>
        <w:t>=样本建筑总能耗/样本建筑总面积</w:t>
      </w:r>
      <w:r w:rsidR="00890987">
        <w:rPr>
          <w:rFonts w:ascii="仿宋_GB2312" w:eastAsia="仿宋_GB2312" w:hAnsi="仿宋" w:cstheme="minorBidi" w:hint="eastAsia"/>
          <w:sz w:val="30"/>
          <w:szCs w:val="30"/>
        </w:rPr>
        <w:t>；</w:t>
      </w:r>
    </w:p>
    <w:p w:rsidR="00AA267E" w:rsidRPr="00AA267E" w:rsidRDefault="00AA267E" w:rsidP="00AA267E">
      <w:pPr>
        <w:spacing w:line="360" w:lineRule="auto"/>
        <w:ind w:firstLineChars="200" w:firstLine="600"/>
        <w:rPr>
          <w:rFonts w:ascii="仿宋_GB2312" w:eastAsia="仿宋_GB2312" w:hAnsi="仿宋" w:cstheme="minorBidi"/>
          <w:sz w:val="30"/>
          <w:szCs w:val="30"/>
        </w:rPr>
      </w:pPr>
      <w:r w:rsidRPr="00AA267E">
        <w:rPr>
          <w:rFonts w:ascii="仿宋_GB2312" w:eastAsia="仿宋_GB2312" w:hAnsi="仿宋" w:cstheme="minorBidi" w:hint="eastAsia"/>
          <w:sz w:val="30"/>
          <w:szCs w:val="30"/>
        </w:rPr>
        <w:t>（3</w:t>
      </w:r>
      <w:r>
        <w:rPr>
          <w:rFonts w:ascii="仿宋_GB2312" w:eastAsia="仿宋_GB2312" w:hAnsi="仿宋" w:cstheme="minorBidi" w:hint="eastAsia"/>
          <w:sz w:val="30"/>
          <w:szCs w:val="30"/>
        </w:rPr>
        <w:t>）以当日为中心对应至基准年</w:t>
      </w:r>
      <w:r w:rsidR="00636A78">
        <w:rPr>
          <w:rFonts w:ascii="仿宋_GB2312" w:eastAsia="仿宋_GB2312" w:hAnsi="仿宋" w:cstheme="minorBidi" w:hint="eastAsia"/>
          <w:sz w:val="30"/>
          <w:szCs w:val="30"/>
        </w:rPr>
        <w:t>（本报告中采用2014年为基准年）</w:t>
      </w:r>
      <w:r>
        <w:rPr>
          <w:rFonts w:ascii="仿宋_GB2312" w:eastAsia="仿宋_GB2312" w:hAnsi="仿宋" w:cstheme="minorBidi" w:hint="eastAsia"/>
          <w:sz w:val="30"/>
          <w:szCs w:val="30"/>
        </w:rPr>
        <w:t>内同期的一周，计算基准年</w:t>
      </w:r>
      <w:r w:rsidRPr="00AA267E">
        <w:rPr>
          <w:rFonts w:ascii="仿宋_GB2312" w:eastAsia="仿宋_GB2312" w:hAnsi="仿宋" w:cstheme="minorBidi" w:hint="eastAsia"/>
          <w:sz w:val="30"/>
          <w:szCs w:val="30"/>
        </w:rPr>
        <w:t>同期</w:t>
      </w:r>
      <w:r>
        <w:rPr>
          <w:rFonts w:ascii="仿宋_GB2312" w:eastAsia="仿宋_GB2312" w:hAnsi="仿宋" w:cstheme="minorBidi" w:hint="eastAsia"/>
          <w:sz w:val="30"/>
          <w:szCs w:val="30"/>
        </w:rPr>
        <w:t>一周</w:t>
      </w:r>
      <w:r w:rsidRPr="00AA267E">
        <w:rPr>
          <w:rFonts w:ascii="仿宋_GB2312" w:eastAsia="仿宋_GB2312" w:hAnsi="仿宋" w:cstheme="minorBidi" w:hint="eastAsia"/>
          <w:sz w:val="30"/>
          <w:szCs w:val="30"/>
        </w:rPr>
        <w:t>内同类型</w:t>
      </w:r>
      <w:r>
        <w:rPr>
          <w:rFonts w:ascii="仿宋_GB2312" w:eastAsia="仿宋_GB2312" w:hAnsi="仿宋" w:cstheme="minorBidi" w:hint="eastAsia"/>
          <w:sz w:val="30"/>
          <w:szCs w:val="30"/>
        </w:rPr>
        <w:t>（工作日或者非工作日）</w:t>
      </w:r>
      <w:r w:rsidRPr="00AA267E">
        <w:rPr>
          <w:rFonts w:ascii="仿宋_GB2312" w:eastAsia="仿宋_GB2312" w:hAnsi="仿宋" w:cstheme="minorBidi" w:hint="eastAsia"/>
          <w:sz w:val="30"/>
          <w:szCs w:val="30"/>
        </w:rPr>
        <w:t>日期的单位面积能耗数的平均值作为</w:t>
      </w:r>
      <w:r>
        <w:rPr>
          <w:rFonts w:ascii="仿宋_GB2312" w:eastAsia="仿宋_GB2312" w:hAnsi="仿宋" w:cstheme="minorBidi" w:hint="eastAsia"/>
          <w:sz w:val="30"/>
          <w:szCs w:val="30"/>
        </w:rPr>
        <w:t>当日</w:t>
      </w:r>
      <w:r w:rsidRPr="00AA267E">
        <w:rPr>
          <w:rFonts w:ascii="仿宋_GB2312" w:eastAsia="仿宋_GB2312" w:hAnsi="仿宋" w:cstheme="minorBidi" w:hint="eastAsia"/>
          <w:sz w:val="30"/>
          <w:szCs w:val="30"/>
        </w:rPr>
        <w:t>基准值</w:t>
      </w:r>
      <w:r w:rsidR="00890987">
        <w:rPr>
          <w:rFonts w:ascii="仿宋_GB2312" w:eastAsia="仿宋_GB2312" w:hAnsi="仿宋" w:cstheme="minorBidi" w:hint="eastAsia"/>
          <w:sz w:val="30"/>
          <w:szCs w:val="30"/>
        </w:rPr>
        <w:t>；</w:t>
      </w:r>
    </w:p>
    <w:p w:rsidR="00AA267E" w:rsidRPr="00AA267E" w:rsidRDefault="00AA267E" w:rsidP="00AA267E">
      <w:pPr>
        <w:spacing w:line="360" w:lineRule="auto"/>
        <w:ind w:firstLineChars="200" w:firstLine="600"/>
        <w:rPr>
          <w:rFonts w:ascii="仿宋_GB2312" w:eastAsia="仿宋_GB2312" w:hAnsi="仿宋" w:cstheme="minorBidi"/>
          <w:sz w:val="30"/>
          <w:szCs w:val="30"/>
        </w:rPr>
      </w:pPr>
      <w:r w:rsidRPr="00AA267E">
        <w:rPr>
          <w:rFonts w:ascii="仿宋_GB2312" w:eastAsia="仿宋_GB2312" w:hAnsi="仿宋" w:cstheme="minorBidi" w:hint="eastAsia"/>
          <w:sz w:val="30"/>
          <w:szCs w:val="30"/>
        </w:rPr>
        <w:t>（4）当日能耗指数=当日单位面积能耗/当日基准值</w:t>
      </w:r>
      <w:r>
        <w:rPr>
          <w:rFonts w:ascii="仿宋_GB2312" w:eastAsia="仿宋_GB2312" w:hAnsi="仿宋" w:cstheme="minorBidi" w:hint="eastAsia"/>
          <w:sz w:val="30"/>
          <w:szCs w:val="30"/>
        </w:rPr>
        <w:t>×100</w:t>
      </w:r>
      <w:r w:rsidR="00890987">
        <w:rPr>
          <w:rFonts w:ascii="仿宋_GB2312" w:eastAsia="仿宋_GB2312" w:hAnsi="仿宋" w:cstheme="minorBidi" w:hint="eastAsia"/>
          <w:sz w:val="30"/>
          <w:szCs w:val="30"/>
        </w:rPr>
        <w:t>。</w:t>
      </w:r>
    </w:p>
    <w:p w:rsidR="006853CB" w:rsidRDefault="00A65F64" w:rsidP="00DA348A">
      <w:pPr>
        <w:spacing w:line="360" w:lineRule="auto"/>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lastRenderedPageBreak/>
        <w:t>2016年，基于</w:t>
      </w:r>
      <w:r w:rsidR="00890987">
        <w:rPr>
          <w:rFonts w:ascii="仿宋_GB2312" w:eastAsia="仿宋_GB2312" w:hAnsi="仿宋" w:cstheme="minorBidi" w:hint="eastAsia"/>
          <w:sz w:val="30"/>
          <w:szCs w:val="30"/>
        </w:rPr>
        <w:t>能耗监测平台</w:t>
      </w:r>
      <w:r>
        <w:rPr>
          <w:rFonts w:ascii="仿宋_GB2312" w:eastAsia="仿宋_GB2312" w:hAnsi="仿宋" w:cstheme="minorBidi" w:hint="eastAsia"/>
          <w:sz w:val="30"/>
          <w:szCs w:val="30"/>
        </w:rPr>
        <w:t>固定样本数据，</w:t>
      </w:r>
      <w:r w:rsidR="006853CB" w:rsidRPr="0029022F">
        <w:rPr>
          <w:rFonts w:ascii="仿宋_GB2312" w:eastAsia="仿宋_GB2312" w:hAnsi="仿宋" w:cstheme="minorBidi" w:hint="eastAsia"/>
          <w:sz w:val="30"/>
          <w:szCs w:val="30"/>
        </w:rPr>
        <w:t>以2</w:t>
      </w:r>
      <w:r w:rsidR="006853CB" w:rsidRPr="0029022F">
        <w:rPr>
          <w:rFonts w:ascii="仿宋_GB2312" w:eastAsia="仿宋_GB2312" w:hAnsi="仿宋" w:cstheme="minorBidi"/>
          <w:sz w:val="30"/>
          <w:szCs w:val="30"/>
        </w:rPr>
        <w:t>014</w:t>
      </w:r>
      <w:r w:rsidR="006853CB" w:rsidRPr="0029022F">
        <w:rPr>
          <w:rFonts w:ascii="仿宋_GB2312" w:eastAsia="仿宋_GB2312" w:hAnsi="仿宋" w:cstheme="minorBidi" w:hint="eastAsia"/>
          <w:sz w:val="30"/>
          <w:szCs w:val="30"/>
        </w:rPr>
        <w:t>年为基准年，</w:t>
      </w:r>
      <w:r w:rsidR="008D0803">
        <w:rPr>
          <w:rFonts w:ascii="仿宋_GB2312" w:eastAsia="仿宋_GB2312" w:hAnsi="仿宋" w:cstheme="minorBidi" w:hint="eastAsia"/>
          <w:sz w:val="30"/>
          <w:szCs w:val="30"/>
        </w:rPr>
        <w:t>能耗监测平台发布能耗指数，</w:t>
      </w:r>
      <w:r w:rsidR="008D0803" w:rsidRPr="0029022F">
        <w:rPr>
          <w:rFonts w:ascii="仿宋_GB2312" w:eastAsia="仿宋_GB2312" w:hAnsi="仿宋" w:cstheme="minorBidi" w:hint="eastAsia"/>
          <w:sz w:val="30"/>
          <w:szCs w:val="30"/>
        </w:rPr>
        <w:t>2016年能耗指数逐日趋势如图</w:t>
      </w:r>
      <w:r w:rsidR="008D0803">
        <w:rPr>
          <w:rFonts w:ascii="仿宋_GB2312" w:eastAsia="仿宋_GB2312" w:hAnsi="仿宋" w:cstheme="minorBidi"/>
          <w:sz w:val="30"/>
          <w:szCs w:val="30"/>
        </w:rPr>
        <w:t>9</w:t>
      </w:r>
      <w:r w:rsidR="008D0803" w:rsidRPr="0029022F">
        <w:rPr>
          <w:rFonts w:ascii="仿宋_GB2312" w:eastAsia="仿宋_GB2312" w:hAnsi="仿宋" w:cstheme="minorBidi" w:hint="eastAsia"/>
          <w:sz w:val="30"/>
          <w:szCs w:val="30"/>
        </w:rPr>
        <w:t>所示。</w:t>
      </w:r>
      <w:r w:rsidR="00AA267E" w:rsidRPr="0029022F">
        <w:rPr>
          <w:rFonts w:ascii="仿宋_GB2312" w:eastAsia="仿宋_GB2312" w:hAnsi="仿宋" w:cstheme="minorBidi" w:hint="eastAsia"/>
          <w:sz w:val="30"/>
          <w:szCs w:val="30"/>
        </w:rPr>
        <w:t>2016</w:t>
      </w:r>
      <w:r w:rsidR="00E43722">
        <w:rPr>
          <w:rFonts w:ascii="仿宋_GB2312" w:eastAsia="仿宋_GB2312" w:hAnsi="仿宋" w:cstheme="minorBidi" w:hint="eastAsia"/>
          <w:sz w:val="30"/>
          <w:szCs w:val="30"/>
        </w:rPr>
        <w:t>年</w:t>
      </w:r>
      <w:r w:rsidR="00AA267E" w:rsidRPr="0029022F">
        <w:rPr>
          <w:rFonts w:ascii="仿宋_GB2312" w:eastAsia="仿宋_GB2312" w:hAnsi="仿宋" w:cstheme="minorBidi" w:hint="eastAsia"/>
          <w:sz w:val="30"/>
          <w:szCs w:val="30"/>
        </w:rPr>
        <w:t>日</w:t>
      </w:r>
      <w:r w:rsidR="00ED3D65">
        <w:rPr>
          <w:rFonts w:ascii="仿宋_GB2312" w:eastAsia="仿宋_GB2312" w:hAnsi="仿宋" w:cstheme="minorBidi" w:hint="eastAsia"/>
          <w:sz w:val="30"/>
          <w:szCs w:val="30"/>
        </w:rPr>
        <w:t>加权</w:t>
      </w:r>
      <w:r w:rsidR="00AA267E" w:rsidRPr="0029022F">
        <w:rPr>
          <w:rFonts w:ascii="仿宋_GB2312" w:eastAsia="仿宋_GB2312" w:hAnsi="仿宋" w:cstheme="minorBidi" w:hint="eastAsia"/>
          <w:sz w:val="30"/>
          <w:szCs w:val="30"/>
        </w:rPr>
        <w:t>平均</w:t>
      </w:r>
      <w:r w:rsidR="00ED3D65">
        <w:rPr>
          <w:rFonts w:ascii="仿宋_GB2312" w:eastAsia="仿宋_GB2312" w:hAnsi="仿宋" w:cstheme="minorBidi" w:hint="eastAsia"/>
          <w:sz w:val="30"/>
          <w:szCs w:val="30"/>
        </w:rPr>
        <w:t>能耗</w:t>
      </w:r>
      <w:r w:rsidR="00AA267E" w:rsidRPr="0029022F">
        <w:rPr>
          <w:rFonts w:ascii="仿宋_GB2312" w:eastAsia="仿宋_GB2312" w:hAnsi="仿宋" w:cstheme="minorBidi" w:hint="eastAsia"/>
          <w:sz w:val="30"/>
          <w:szCs w:val="30"/>
        </w:rPr>
        <w:t>指数为</w:t>
      </w:r>
      <w:r w:rsidR="00E43722">
        <w:rPr>
          <w:rFonts w:ascii="仿宋_GB2312" w:eastAsia="仿宋_GB2312" w:hAnsi="仿宋" w:cstheme="minorBidi" w:hint="eastAsia"/>
          <w:sz w:val="30"/>
          <w:szCs w:val="30"/>
        </w:rPr>
        <w:t>101</w:t>
      </w:r>
      <w:r w:rsidR="00ED3D65">
        <w:rPr>
          <w:rFonts w:ascii="仿宋_GB2312" w:eastAsia="仿宋_GB2312" w:hAnsi="仿宋" w:cstheme="minorBidi" w:hint="eastAsia"/>
          <w:sz w:val="30"/>
          <w:szCs w:val="30"/>
        </w:rPr>
        <w:t>.9</w:t>
      </w:r>
      <w:r w:rsidR="005B7F8F">
        <w:rPr>
          <w:rFonts w:ascii="仿宋_GB2312" w:eastAsia="仿宋_GB2312" w:hAnsi="仿宋" w:cstheme="minorBidi" w:hint="eastAsia"/>
          <w:sz w:val="30"/>
          <w:szCs w:val="30"/>
        </w:rPr>
        <w:t>，总体来分析，本市新建和既有公共建筑在节能措施落实层面与预期效果基本相符，</w:t>
      </w:r>
      <w:r w:rsidR="00DA348A">
        <w:rPr>
          <w:rFonts w:ascii="仿宋_GB2312" w:eastAsia="仿宋_GB2312" w:hAnsi="仿宋" w:cstheme="minorBidi" w:hint="eastAsia"/>
          <w:sz w:val="30"/>
          <w:szCs w:val="30"/>
        </w:rPr>
        <w:t>除第三季度因2016年高温日较多导致用能出现较大波动外，其他周期的能耗指数基本保持在</w:t>
      </w:r>
      <w:r w:rsidR="005B7F8F">
        <w:rPr>
          <w:rFonts w:ascii="仿宋_GB2312" w:eastAsia="仿宋_GB2312" w:hAnsi="仿宋" w:cstheme="minorBidi" w:hint="eastAsia"/>
          <w:sz w:val="30"/>
          <w:szCs w:val="30"/>
        </w:rPr>
        <w:t>较低</w:t>
      </w:r>
      <w:r w:rsidR="00DA348A">
        <w:rPr>
          <w:rFonts w:ascii="仿宋_GB2312" w:eastAsia="仿宋_GB2312" w:hAnsi="仿宋" w:cstheme="minorBidi" w:hint="eastAsia"/>
          <w:sz w:val="30"/>
          <w:szCs w:val="30"/>
        </w:rPr>
        <w:t>水平。同时，</w:t>
      </w:r>
      <w:r w:rsidR="00DB15B0">
        <w:rPr>
          <w:rFonts w:ascii="仿宋_GB2312" w:eastAsia="仿宋_GB2312" w:hAnsi="仿宋" w:cstheme="minorBidi" w:hint="eastAsia"/>
          <w:sz w:val="30"/>
          <w:szCs w:val="30"/>
        </w:rPr>
        <w:t>从能耗指数其他不同时</w:t>
      </w:r>
      <w:r w:rsidR="00DA348A">
        <w:rPr>
          <w:rFonts w:ascii="仿宋_GB2312" w:eastAsia="仿宋_GB2312" w:hAnsi="仿宋" w:cstheme="minorBidi" w:hint="eastAsia"/>
          <w:sz w:val="30"/>
          <w:szCs w:val="30"/>
        </w:rPr>
        <w:t>段</w:t>
      </w:r>
      <w:r w:rsidR="00DB15B0">
        <w:rPr>
          <w:rFonts w:ascii="仿宋_GB2312" w:eastAsia="仿宋_GB2312" w:hAnsi="仿宋" w:cstheme="minorBidi" w:hint="eastAsia"/>
          <w:sz w:val="30"/>
          <w:szCs w:val="30"/>
        </w:rPr>
        <w:t>的动态演化特征，</w:t>
      </w:r>
      <w:r w:rsidR="00883C04">
        <w:rPr>
          <w:rFonts w:ascii="仿宋_GB2312" w:eastAsia="仿宋_GB2312" w:hAnsi="仿宋" w:cstheme="minorBidi" w:hint="eastAsia"/>
          <w:sz w:val="30"/>
          <w:szCs w:val="30"/>
        </w:rPr>
        <w:t>也可</w:t>
      </w:r>
      <w:r w:rsidR="00DB15B0">
        <w:rPr>
          <w:rFonts w:ascii="仿宋_GB2312" w:eastAsia="仿宋_GB2312" w:hAnsi="仿宋" w:cstheme="minorBidi" w:hint="eastAsia"/>
          <w:sz w:val="30"/>
          <w:szCs w:val="30"/>
        </w:rPr>
        <w:t>反映出</w:t>
      </w:r>
      <w:r w:rsidR="00DA348A">
        <w:rPr>
          <w:rFonts w:ascii="仿宋_GB2312" w:eastAsia="仿宋_GB2312" w:hAnsi="仿宋" w:cstheme="minorBidi" w:hint="eastAsia"/>
          <w:sz w:val="30"/>
          <w:szCs w:val="30"/>
        </w:rPr>
        <w:t>影响指数</w:t>
      </w:r>
      <w:r w:rsidR="00F02EB7">
        <w:rPr>
          <w:rFonts w:ascii="仿宋_GB2312" w:eastAsia="仿宋_GB2312" w:hAnsi="仿宋" w:cstheme="minorBidi" w:hint="eastAsia"/>
          <w:sz w:val="30"/>
          <w:szCs w:val="30"/>
        </w:rPr>
        <w:t>波动</w:t>
      </w:r>
      <w:r w:rsidR="008D0803">
        <w:rPr>
          <w:rFonts w:ascii="仿宋_GB2312" w:eastAsia="仿宋_GB2312" w:hAnsi="仿宋" w:cstheme="minorBidi" w:hint="eastAsia"/>
          <w:sz w:val="30"/>
          <w:szCs w:val="30"/>
        </w:rPr>
        <w:t>的</w:t>
      </w:r>
      <w:r w:rsidR="00883C04">
        <w:rPr>
          <w:rFonts w:ascii="仿宋_GB2312" w:eastAsia="仿宋_GB2312" w:hAnsi="仿宋" w:cstheme="minorBidi" w:hint="eastAsia"/>
          <w:sz w:val="30"/>
          <w:szCs w:val="30"/>
        </w:rPr>
        <w:t>其他</w:t>
      </w:r>
      <w:r w:rsidR="008D0803">
        <w:rPr>
          <w:rFonts w:ascii="仿宋_GB2312" w:eastAsia="仿宋_GB2312" w:hAnsi="仿宋" w:cstheme="minorBidi" w:hint="eastAsia"/>
          <w:sz w:val="30"/>
          <w:szCs w:val="30"/>
        </w:rPr>
        <w:t>因素</w:t>
      </w:r>
      <w:r w:rsidR="004C1050">
        <w:rPr>
          <w:rFonts w:ascii="仿宋_GB2312" w:eastAsia="仿宋_GB2312" w:hAnsi="仿宋" w:cstheme="minorBidi" w:hint="eastAsia"/>
          <w:sz w:val="30"/>
          <w:szCs w:val="30"/>
        </w:rPr>
        <w:t>，</w:t>
      </w:r>
      <w:r w:rsidR="00883C04">
        <w:rPr>
          <w:rFonts w:ascii="仿宋_GB2312" w:eastAsia="仿宋_GB2312" w:hAnsi="仿宋" w:cstheme="minorBidi" w:hint="eastAsia"/>
          <w:sz w:val="30"/>
          <w:szCs w:val="30"/>
        </w:rPr>
        <w:t>如本市生态园区的落实推进、绿色建筑运营标识增加等</w:t>
      </w:r>
      <w:r w:rsidR="00D94D2C">
        <w:rPr>
          <w:rFonts w:ascii="仿宋_GB2312" w:eastAsia="仿宋_GB2312" w:hAnsi="仿宋" w:cstheme="minorBidi" w:hint="eastAsia"/>
          <w:sz w:val="30"/>
          <w:szCs w:val="30"/>
        </w:rPr>
        <w:t>产生的正面效应</w:t>
      </w:r>
      <w:r w:rsidR="0048729D">
        <w:rPr>
          <w:rFonts w:ascii="仿宋_GB2312" w:eastAsia="仿宋_GB2312" w:hAnsi="仿宋" w:cstheme="minorBidi" w:hint="eastAsia"/>
          <w:sz w:val="30"/>
          <w:szCs w:val="30"/>
        </w:rPr>
        <w:t>。</w:t>
      </w:r>
    </w:p>
    <w:p w:rsidR="00636A78" w:rsidRDefault="005940E9" w:rsidP="00636A78">
      <w:pPr>
        <w:spacing w:line="360" w:lineRule="auto"/>
        <w:jc w:val="center"/>
        <w:rPr>
          <w:rFonts w:ascii="仿宋_GB2312" w:eastAsia="仿宋_GB2312" w:hAnsi="仿宋" w:cstheme="minorBidi"/>
          <w:sz w:val="30"/>
          <w:szCs w:val="30"/>
        </w:rPr>
      </w:pPr>
      <w:r>
        <w:rPr>
          <w:noProof/>
        </w:rPr>
        <w:drawing>
          <wp:inline distT="0" distB="0" distL="0" distR="0">
            <wp:extent cx="5047251" cy="2498725"/>
            <wp:effectExtent l="0" t="0" r="127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7611" w:rsidRDefault="00A97611" w:rsidP="00A97611">
      <w:pPr>
        <w:spacing w:line="360" w:lineRule="auto"/>
        <w:jc w:val="center"/>
        <w:rPr>
          <w:rFonts w:ascii="Times New Roman" w:eastAsia="仿宋_GB2312" w:hAnsi="Times New Roman" w:cstheme="majorBidi"/>
          <w:color w:val="000000" w:themeColor="text1"/>
          <w:sz w:val="24"/>
          <w:szCs w:val="24"/>
        </w:rPr>
        <w:sectPr w:rsidR="00A97611" w:rsidSect="00F016E5">
          <w:footerReference w:type="default" r:id="rId26"/>
          <w:pgSz w:w="11906" w:h="16838"/>
          <w:pgMar w:top="1440" w:right="1797" w:bottom="1440" w:left="1797" w:header="851" w:footer="992" w:gutter="0"/>
          <w:pgNumType w:start="3"/>
          <w:cols w:space="425"/>
          <w:docGrid w:type="linesAndChars" w:linePitch="312"/>
        </w:sectPr>
      </w:pPr>
      <w:r w:rsidRPr="004D58D1">
        <w:rPr>
          <w:rFonts w:ascii="Times New Roman" w:eastAsia="仿宋_GB2312" w:hAnsi="Times New Roman" w:cstheme="majorBidi" w:hint="eastAsia"/>
          <w:color w:val="000000" w:themeColor="text1"/>
          <w:sz w:val="24"/>
          <w:szCs w:val="24"/>
        </w:rPr>
        <w:t>图</w:t>
      </w:r>
      <w:r w:rsidR="00A13990">
        <w:rPr>
          <w:rFonts w:ascii="Times New Roman" w:eastAsia="仿宋_GB2312" w:hAnsi="Times New Roman" w:cstheme="majorBidi" w:hint="eastAsia"/>
          <w:color w:val="000000" w:themeColor="text1"/>
          <w:sz w:val="24"/>
          <w:szCs w:val="24"/>
        </w:rPr>
        <w:t xml:space="preserve">9  </w:t>
      </w:r>
      <w:r>
        <w:rPr>
          <w:rFonts w:ascii="Times New Roman" w:eastAsia="仿宋_GB2312" w:hAnsi="Times New Roman" w:cstheme="majorBidi" w:hint="eastAsia"/>
          <w:color w:val="000000" w:themeColor="text1"/>
          <w:sz w:val="24"/>
          <w:szCs w:val="24"/>
        </w:rPr>
        <w:t>2016</w:t>
      </w:r>
      <w:r>
        <w:rPr>
          <w:rFonts w:ascii="Times New Roman" w:eastAsia="仿宋_GB2312" w:hAnsi="Times New Roman" w:cstheme="majorBidi" w:hint="eastAsia"/>
          <w:color w:val="000000" w:themeColor="text1"/>
          <w:sz w:val="24"/>
          <w:szCs w:val="24"/>
        </w:rPr>
        <w:t>年能耗指数变化情况</w:t>
      </w:r>
    </w:p>
    <w:p w:rsidR="00636A78" w:rsidRPr="003852F2" w:rsidRDefault="00636A78" w:rsidP="005133BB">
      <w:pPr>
        <w:widowControl/>
        <w:jc w:val="left"/>
        <w:rPr>
          <w:rFonts w:ascii="Times New Roman" w:eastAsia="仿宋_GB2312" w:hAnsi="Times New Roman"/>
          <w:color w:val="000000" w:themeColor="text1"/>
          <w:sz w:val="30"/>
          <w:szCs w:val="30"/>
        </w:rPr>
      </w:pPr>
    </w:p>
    <w:p w:rsidR="00B74D6C" w:rsidRDefault="00B74D6C" w:rsidP="00B74D6C">
      <w:pPr>
        <w:rPr>
          <w:rFonts w:ascii="仿宋_GB2312" w:eastAsia="仿宋_GB2312" w:hAnsi="仿宋" w:cstheme="minorBidi"/>
          <w:sz w:val="30"/>
          <w:szCs w:val="30"/>
        </w:rPr>
      </w:pPr>
    </w:p>
    <w:p w:rsidR="00B74D6C" w:rsidRDefault="00B74D6C" w:rsidP="00B74D6C">
      <w:pPr>
        <w:rPr>
          <w:rFonts w:ascii="仿宋_GB2312" w:eastAsia="仿宋_GB2312" w:hAnsi="仿宋" w:cstheme="minorBidi"/>
          <w:sz w:val="30"/>
          <w:szCs w:val="30"/>
        </w:rPr>
      </w:pPr>
    </w:p>
    <w:p w:rsidR="00B74D6C" w:rsidRDefault="00B74D6C" w:rsidP="00B74D6C">
      <w:pPr>
        <w:rPr>
          <w:rFonts w:ascii="仿宋_GB2312" w:eastAsia="仿宋_GB2312" w:hAnsi="仿宋" w:cstheme="minorBidi"/>
          <w:sz w:val="30"/>
          <w:szCs w:val="30"/>
        </w:rPr>
      </w:pPr>
    </w:p>
    <w:p w:rsidR="00B74D6C" w:rsidRDefault="00B74D6C" w:rsidP="00B74D6C">
      <w:pPr>
        <w:rPr>
          <w:rFonts w:ascii="仿宋_GB2312" w:eastAsia="仿宋_GB2312" w:hAnsi="仿宋" w:cstheme="minorBidi"/>
          <w:sz w:val="30"/>
          <w:szCs w:val="30"/>
        </w:rPr>
      </w:pPr>
    </w:p>
    <w:p w:rsidR="00B74D6C" w:rsidRDefault="00B74D6C" w:rsidP="00B74D6C">
      <w:pPr>
        <w:rPr>
          <w:rFonts w:ascii="仿宋_GB2312" w:eastAsia="仿宋_GB2312" w:hAnsi="仿宋" w:cstheme="minorBidi"/>
          <w:sz w:val="30"/>
          <w:szCs w:val="30"/>
        </w:rPr>
      </w:pPr>
    </w:p>
    <w:p w:rsidR="00B74D6C" w:rsidRDefault="00B74D6C" w:rsidP="00B74D6C">
      <w:pPr>
        <w:rPr>
          <w:rFonts w:ascii="仿宋_GB2312" w:eastAsia="仿宋_GB2312" w:hAnsi="仿宋" w:cstheme="minorBidi"/>
          <w:sz w:val="30"/>
          <w:szCs w:val="30"/>
        </w:rPr>
      </w:pPr>
    </w:p>
    <w:p w:rsidR="003852F2" w:rsidRPr="00B74D6C" w:rsidRDefault="003852F2" w:rsidP="00B74D6C">
      <w:pPr>
        <w:rPr>
          <w:rFonts w:ascii="仿宋_GB2312" w:eastAsia="仿宋_GB2312" w:hAnsi="仿宋" w:cstheme="minorBidi"/>
          <w:sz w:val="30"/>
          <w:szCs w:val="30"/>
        </w:rPr>
      </w:pPr>
    </w:p>
    <w:p w:rsidR="003F1DBC" w:rsidRPr="00447492" w:rsidRDefault="00465665" w:rsidP="00DB66EC">
      <w:pPr>
        <w:pStyle w:val="1"/>
        <w:spacing w:before="0" w:afterLines="50" w:line="360" w:lineRule="auto"/>
        <w:jc w:val="center"/>
        <w:rPr>
          <w:rFonts w:ascii="黑体" w:eastAsia="黑体" w:hAnsi="黑体" w:cstheme="minorBidi"/>
          <w:bCs w:val="0"/>
          <w:kern w:val="2"/>
        </w:rPr>
      </w:pPr>
      <w:bookmarkStart w:id="10" w:name="_Toc479753002"/>
      <w:r>
        <w:rPr>
          <w:rFonts w:ascii="黑体" w:eastAsia="黑体" w:hAnsi="黑体" w:cstheme="minorBidi" w:hint="eastAsia"/>
          <w:bCs w:val="0"/>
          <w:kern w:val="2"/>
        </w:rPr>
        <w:t>二、</w:t>
      </w:r>
      <w:r w:rsidR="00B74D6C" w:rsidRPr="00447492">
        <w:rPr>
          <w:rFonts w:ascii="黑体" w:eastAsia="黑体" w:hAnsi="黑体" w:cstheme="minorBidi" w:hint="eastAsia"/>
          <w:bCs w:val="0"/>
          <w:kern w:val="2"/>
        </w:rPr>
        <w:t>区域篇</w:t>
      </w:r>
      <w:bookmarkEnd w:id="10"/>
    </w:p>
    <w:p w:rsidR="00A0168E" w:rsidRDefault="00A0168E" w:rsidP="00594560">
      <w:pPr>
        <w:spacing w:line="360" w:lineRule="auto"/>
        <w:jc w:val="center"/>
        <w:rPr>
          <w:rFonts w:ascii="Times New Roman" w:eastAsia="仿宋_GB2312" w:hAnsi="Times New Roman"/>
          <w:color w:val="000000" w:themeColor="text1"/>
          <w:sz w:val="24"/>
          <w:szCs w:val="24"/>
        </w:rPr>
        <w:sectPr w:rsidR="00A0168E" w:rsidSect="00F016E5">
          <w:footerReference w:type="default" r:id="rId27"/>
          <w:pgSz w:w="11906" w:h="16838"/>
          <w:pgMar w:top="1440" w:right="1797" w:bottom="1440" w:left="1797" w:header="851" w:footer="992" w:gutter="0"/>
          <w:pgNumType w:start="11"/>
          <w:cols w:space="425"/>
          <w:docGrid w:type="linesAndChars" w:linePitch="312"/>
        </w:sectPr>
      </w:pPr>
    </w:p>
    <w:p w:rsidR="00B74D6C" w:rsidRDefault="00DA4364" w:rsidP="00A0168E">
      <w:pPr>
        <w:pStyle w:val="2"/>
        <w:spacing w:before="0" w:line="415" w:lineRule="auto"/>
        <w:rPr>
          <w:rFonts w:ascii="黑体" w:eastAsia="黑体" w:hAnsi="黑体" w:cs="Times New Roman"/>
          <w:bCs w:val="0"/>
          <w:color w:val="000000" w:themeColor="text1"/>
        </w:rPr>
      </w:pPr>
      <w:bookmarkStart w:id="11" w:name="_Toc479753003"/>
      <w:r>
        <w:rPr>
          <w:rFonts w:ascii="黑体" w:eastAsia="黑体" w:hAnsi="黑体" w:cs="Times New Roman" w:hint="eastAsia"/>
          <w:bCs w:val="0"/>
          <w:color w:val="000000" w:themeColor="text1"/>
        </w:rPr>
        <w:lastRenderedPageBreak/>
        <w:t>（一）</w:t>
      </w:r>
      <w:r w:rsidR="0018734E">
        <w:rPr>
          <w:rFonts w:ascii="黑体" w:eastAsia="黑体" w:hAnsi="黑体" w:cs="Times New Roman" w:hint="eastAsia"/>
          <w:bCs w:val="0"/>
          <w:color w:val="000000" w:themeColor="text1"/>
        </w:rPr>
        <w:t>各区概况</w:t>
      </w:r>
      <w:bookmarkEnd w:id="11"/>
    </w:p>
    <w:p w:rsidR="00B74D6C" w:rsidRDefault="004F6A94" w:rsidP="007C53C9">
      <w:pPr>
        <w:pStyle w:val="3"/>
        <w:spacing w:before="0" w:after="0" w:line="415" w:lineRule="auto"/>
        <w:rPr>
          <w:rFonts w:ascii="黑体" w:eastAsia="黑体" w:hAnsi="黑体" w:cstheme="minorBidi"/>
          <w:bCs w:val="0"/>
          <w:sz w:val="30"/>
          <w:szCs w:val="30"/>
        </w:rPr>
      </w:pPr>
      <w:bookmarkStart w:id="12" w:name="_Toc479753004"/>
      <w:r>
        <w:rPr>
          <w:rFonts w:ascii="黑体" w:eastAsia="黑体" w:hAnsi="黑体" w:cstheme="minorBidi" w:hint="eastAsia"/>
          <w:bCs w:val="0"/>
          <w:sz w:val="30"/>
          <w:szCs w:val="30"/>
        </w:rPr>
        <w:t>1、</w:t>
      </w:r>
      <w:r w:rsidR="00B74D6C" w:rsidRPr="00B74D6C">
        <w:rPr>
          <w:rFonts w:ascii="黑体" w:eastAsia="黑体" w:hAnsi="黑体" w:cstheme="minorBidi" w:hint="eastAsia"/>
          <w:bCs w:val="0"/>
          <w:sz w:val="30"/>
          <w:szCs w:val="30"/>
        </w:rPr>
        <w:t>各区</w:t>
      </w:r>
      <w:r w:rsidR="00277F6F">
        <w:rPr>
          <w:rFonts w:ascii="黑体" w:eastAsia="黑体" w:hAnsi="黑体" w:cstheme="minorBidi" w:hint="eastAsia"/>
          <w:bCs w:val="0"/>
          <w:sz w:val="30"/>
          <w:szCs w:val="30"/>
        </w:rPr>
        <w:t>在线监测</w:t>
      </w:r>
      <w:r w:rsidR="00B74D6C" w:rsidRPr="00B74D6C">
        <w:rPr>
          <w:rFonts w:ascii="黑体" w:eastAsia="黑体" w:hAnsi="黑体" w:cstheme="minorBidi" w:hint="eastAsia"/>
          <w:bCs w:val="0"/>
          <w:sz w:val="30"/>
          <w:szCs w:val="30"/>
        </w:rPr>
        <w:t>建筑接入情况</w:t>
      </w:r>
      <w:bookmarkEnd w:id="12"/>
    </w:p>
    <w:p w:rsidR="009C7AA7" w:rsidRDefault="009C7AA7" w:rsidP="00447492">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2016</w:t>
      </w:r>
      <w:r w:rsidR="0018734E">
        <w:rPr>
          <w:rFonts w:ascii="仿宋_GB2312" w:eastAsia="仿宋_GB2312" w:hAnsi="仿宋" w:cstheme="minorBidi" w:hint="eastAsia"/>
          <w:sz w:val="30"/>
          <w:szCs w:val="30"/>
        </w:rPr>
        <w:t>年</w:t>
      </w:r>
      <w:r>
        <w:rPr>
          <w:rFonts w:ascii="仿宋_GB2312" w:eastAsia="仿宋_GB2312" w:hAnsi="仿宋" w:cstheme="minorBidi" w:hint="eastAsia"/>
          <w:sz w:val="30"/>
          <w:szCs w:val="30"/>
        </w:rPr>
        <w:t>，</w:t>
      </w:r>
      <w:r w:rsidR="0018734E">
        <w:rPr>
          <w:rFonts w:ascii="仿宋_GB2312" w:eastAsia="仿宋_GB2312" w:hAnsi="仿宋" w:cstheme="minorBidi" w:hint="eastAsia"/>
          <w:sz w:val="30"/>
          <w:szCs w:val="30"/>
        </w:rPr>
        <w:t>接</w:t>
      </w:r>
      <w:r w:rsidR="00360F1B">
        <w:rPr>
          <w:rFonts w:ascii="仿宋_GB2312" w:eastAsia="仿宋_GB2312" w:hAnsi="仿宋" w:cstheme="minorBidi" w:hint="eastAsia"/>
          <w:sz w:val="30"/>
          <w:szCs w:val="30"/>
        </w:rPr>
        <w:t>入</w:t>
      </w:r>
      <w:r w:rsidR="00696491">
        <w:rPr>
          <w:rFonts w:ascii="仿宋_GB2312" w:eastAsia="仿宋_GB2312" w:hAnsi="仿宋" w:cstheme="minorBidi" w:hint="eastAsia"/>
          <w:sz w:val="30"/>
          <w:szCs w:val="30"/>
        </w:rPr>
        <w:t>能耗监测平台</w:t>
      </w:r>
      <w:r w:rsidR="00360F1B">
        <w:rPr>
          <w:rFonts w:ascii="仿宋_GB2312" w:eastAsia="仿宋_GB2312" w:hAnsi="仿宋" w:cstheme="minorBidi" w:hint="eastAsia"/>
          <w:sz w:val="30"/>
          <w:szCs w:val="30"/>
        </w:rPr>
        <w:t>的公共建筑在各区的分布情况如表2所示，</w:t>
      </w:r>
      <w:r w:rsidR="0063371D">
        <w:rPr>
          <w:rFonts w:ascii="仿宋_GB2312" w:eastAsia="仿宋_GB2312" w:hAnsi="仿宋" w:cstheme="minorBidi" w:hint="eastAsia"/>
          <w:sz w:val="30"/>
          <w:szCs w:val="30"/>
        </w:rPr>
        <w:t>其中，黄浦区累计244</w:t>
      </w:r>
      <w:r w:rsidR="00583286">
        <w:rPr>
          <w:rFonts w:ascii="仿宋_GB2312" w:eastAsia="仿宋_GB2312" w:hAnsi="仿宋" w:cstheme="minorBidi" w:hint="eastAsia"/>
          <w:sz w:val="30"/>
          <w:szCs w:val="30"/>
        </w:rPr>
        <w:t>栋，为各区接入量之最；</w:t>
      </w:r>
      <w:r w:rsidR="0063371D">
        <w:rPr>
          <w:rFonts w:ascii="仿宋_GB2312" w:eastAsia="仿宋_GB2312" w:hAnsi="仿宋" w:cstheme="minorBidi" w:hint="eastAsia"/>
          <w:sz w:val="30"/>
          <w:szCs w:val="30"/>
        </w:rPr>
        <w:t>浦东新区在线监测建筑</w:t>
      </w:r>
      <w:r w:rsidR="008A35D3">
        <w:rPr>
          <w:rFonts w:ascii="仿宋_GB2312" w:eastAsia="仿宋_GB2312" w:hAnsi="仿宋" w:cstheme="minorBidi" w:hint="eastAsia"/>
          <w:sz w:val="30"/>
          <w:szCs w:val="30"/>
        </w:rPr>
        <w:t>总</w:t>
      </w:r>
      <w:r w:rsidR="0063371D">
        <w:rPr>
          <w:rFonts w:ascii="仿宋_GB2312" w:eastAsia="仿宋_GB2312" w:hAnsi="仿宋" w:cstheme="minorBidi" w:hint="eastAsia"/>
          <w:sz w:val="30"/>
          <w:szCs w:val="30"/>
        </w:rPr>
        <w:t>面积达1118.8万m</w:t>
      </w:r>
      <w:r w:rsidR="0063371D" w:rsidRPr="0063371D">
        <w:rPr>
          <w:rFonts w:ascii="仿宋_GB2312" w:eastAsia="仿宋_GB2312" w:hAnsi="仿宋" w:cstheme="minorBidi" w:hint="eastAsia"/>
          <w:sz w:val="30"/>
          <w:szCs w:val="30"/>
          <w:vertAlign w:val="superscript"/>
        </w:rPr>
        <w:t>2</w:t>
      </w:r>
      <w:r w:rsidR="0063371D">
        <w:rPr>
          <w:rFonts w:ascii="仿宋_GB2312" w:eastAsia="仿宋_GB2312" w:hAnsi="仿宋" w:cstheme="minorBidi" w:hint="eastAsia"/>
          <w:sz w:val="30"/>
          <w:szCs w:val="30"/>
        </w:rPr>
        <w:t>，为各区监测面积之最</w:t>
      </w:r>
      <w:r w:rsidR="00583286">
        <w:rPr>
          <w:rFonts w:ascii="仿宋_GB2312" w:eastAsia="仿宋_GB2312" w:hAnsi="仿宋" w:cstheme="minorBidi" w:hint="eastAsia"/>
          <w:sz w:val="30"/>
          <w:szCs w:val="30"/>
        </w:rPr>
        <w:t>；</w:t>
      </w:r>
      <w:r w:rsidR="00B44574">
        <w:rPr>
          <w:rFonts w:ascii="仿宋_GB2312" w:eastAsia="仿宋_GB2312" w:hAnsi="仿宋" w:cstheme="minorBidi" w:hint="eastAsia"/>
          <w:sz w:val="30"/>
          <w:szCs w:val="30"/>
        </w:rPr>
        <w:t>黄浦区</w:t>
      </w:r>
      <w:r w:rsidR="007F3347">
        <w:rPr>
          <w:rFonts w:ascii="仿宋_GB2312" w:eastAsia="仿宋_GB2312" w:hAnsi="仿宋" w:cstheme="minorBidi" w:hint="eastAsia"/>
          <w:sz w:val="30"/>
          <w:szCs w:val="30"/>
        </w:rPr>
        <w:t>年度新</w:t>
      </w:r>
      <w:r w:rsidR="00583286">
        <w:rPr>
          <w:rFonts w:ascii="仿宋_GB2312" w:eastAsia="仿宋_GB2312" w:hAnsi="仿宋" w:cstheme="minorBidi" w:hint="eastAsia"/>
          <w:sz w:val="30"/>
          <w:szCs w:val="30"/>
        </w:rPr>
        <w:t>增</w:t>
      </w:r>
      <w:r w:rsidR="007F3347">
        <w:rPr>
          <w:rFonts w:ascii="仿宋_GB2312" w:eastAsia="仿宋_GB2312" w:hAnsi="仿宋" w:cstheme="minorBidi" w:hint="eastAsia"/>
          <w:sz w:val="30"/>
          <w:szCs w:val="30"/>
        </w:rPr>
        <w:t>接入量</w:t>
      </w:r>
      <w:r w:rsidR="00B44574" w:rsidRPr="00B44574">
        <w:rPr>
          <w:rFonts w:ascii="仿宋_GB2312" w:eastAsia="仿宋_GB2312" w:hAnsi="仿宋" w:cstheme="minorBidi" w:hint="eastAsia"/>
          <w:sz w:val="30"/>
          <w:szCs w:val="30"/>
        </w:rPr>
        <w:t>47</w:t>
      </w:r>
      <w:r w:rsidR="007F3347">
        <w:rPr>
          <w:rFonts w:ascii="仿宋_GB2312" w:eastAsia="仿宋_GB2312" w:hAnsi="仿宋" w:cstheme="minorBidi" w:hint="eastAsia"/>
          <w:sz w:val="30"/>
          <w:szCs w:val="30"/>
        </w:rPr>
        <w:t>栋，为各区新增接入量之最</w:t>
      </w:r>
      <w:r w:rsidR="0063371D">
        <w:rPr>
          <w:rFonts w:ascii="仿宋_GB2312" w:eastAsia="仿宋_GB2312" w:hAnsi="仿宋" w:cstheme="minorBidi" w:hint="eastAsia"/>
          <w:sz w:val="30"/>
          <w:szCs w:val="30"/>
        </w:rPr>
        <w:t>。</w:t>
      </w:r>
    </w:p>
    <w:p w:rsidR="009C7AA7" w:rsidRPr="009C7AA7" w:rsidRDefault="009C7AA7" w:rsidP="00636A78">
      <w:pPr>
        <w:jc w:val="center"/>
        <w:rPr>
          <w:rFonts w:ascii="仿宋_GB2312" w:eastAsia="仿宋_GB2312" w:hAnsi="仿宋" w:cstheme="minorBidi"/>
          <w:sz w:val="30"/>
          <w:szCs w:val="30"/>
        </w:rPr>
      </w:pPr>
      <w:r w:rsidRPr="006C2B64">
        <w:rPr>
          <w:rFonts w:ascii="Times New Roman" w:eastAsia="仿宋_GB2312" w:hAnsi="Times New Roman" w:cstheme="majorBidi" w:hint="eastAsia"/>
          <w:color w:val="000000" w:themeColor="text1"/>
          <w:sz w:val="24"/>
          <w:szCs w:val="24"/>
        </w:rPr>
        <w:t>表</w:t>
      </w:r>
      <w:r w:rsidR="006C2B64">
        <w:rPr>
          <w:rFonts w:ascii="Times New Roman" w:eastAsia="仿宋_GB2312" w:hAnsi="Times New Roman" w:cstheme="majorBidi" w:hint="eastAsia"/>
          <w:color w:val="000000" w:themeColor="text1"/>
          <w:sz w:val="24"/>
          <w:szCs w:val="24"/>
        </w:rPr>
        <w:t>2</w:t>
      </w:r>
      <w:r w:rsidRPr="006C2B64">
        <w:rPr>
          <w:rFonts w:ascii="Times New Roman" w:eastAsia="仿宋_GB2312" w:hAnsi="Times New Roman" w:cstheme="majorBidi" w:hint="eastAsia"/>
          <w:color w:val="000000" w:themeColor="text1"/>
          <w:sz w:val="24"/>
          <w:szCs w:val="24"/>
        </w:rPr>
        <w:t xml:space="preserve">  2016</w:t>
      </w:r>
      <w:r w:rsidR="00583286">
        <w:rPr>
          <w:rFonts w:ascii="Times New Roman" w:eastAsia="仿宋_GB2312" w:hAnsi="Times New Roman" w:cstheme="majorBidi" w:hint="eastAsia"/>
          <w:color w:val="000000" w:themeColor="text1"/>
          <w:sz w:val="24"/>
          <w:szCs w:val="24"/>
        </w:rPr>
        <w:t>年能耗监测平台各区在线监测建筑接入</w:t>
      </w:r>
      <w:r w:rsidRPr="006C2B64">
        <w:rPr>
          <w:rFonts w:ascii="Times New Roman" w:eastAsia="仿宋_GB2312" w:hAnsi="Times New Roman" w:cstheme="majorBidi" w:hint="eastAsia"/>
          <w:color w:val="000000" w:themeColor="text1"/>
          <w:sz w:val="24"/>
          <w:szCs w:val="24"/>
        </w:rPr>
        <w:t>情况</w:t>
      </w:r>
    </w:p>
    <w:tbl>
      <w:tblPr>
        <w:tblW w:w="4863"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320"/>
        <w:gridCol w:w="2306"/>
        <w:gridCol w:w="2531"/>
        <w:gridCol w:w="2137"/>
      </w:tblGrid>
      <w:tr w:rsidR="00B44574" w:rsidRPr="009C7AA7" w:rsidTr="00B30D92">
        <w:trPr>
          <w:trHeight w:val="280"/>
          <w:jc w:val="center"/>
        </w:trPr>
        <w:tc>
          <w:tcPr>
            <w:tcW w:w="796" w:type="pct"/>
            <w:shd w:val="clear" w:color="auto" w:fill="auto"/>
            <w:noWrap/>
            <w:vAlign w:val="center"/>
            <w:hideMark/>
          </w:tcPr>
          <w:p w:rsidR="009C7AA7" w:rsidRPr="006C2B64" w:rsidRDefault="00583286" w:rsidP="007C53C9">
            <w:pPr>
              <w:widowControl/>
              <w:spacing w:line="360" w:lineRule="auto"/>
              <w:jc w:val="center"/>
              <w:rPr>
                <w:rFonts w:ascii="Times New Roman" w:eastAsia="仿宋_GB2312" w:hAnsi="Times New Roman" w:cstheme="majorBidi"/>
                <w:color w:val="000000" w:themeColor="text1"/>
                <w:sz w:val="24"/>
                <w:szCs w:val="24"/>
              </w:rPr>
            </w:pPr>
            <w:r>
              <w:rPr>
                <w:rFonts w:ascii="Times New Roman" w:eastAsia="仿宋_GB2312" w:hAnsi="Times New Roman" w:cstheme="majorBidi" w:hint="eastAsia"/>
                <w:color w:val="000000" w:themeColor="text1"/>
                <w:sz w:val="24"/>
                <w:szCs w:val="24"/>
              </w:rPr>
              <w:t>区</w:t>
            </w:r>
          </w:p>
        </w:tc>
        <w:tc>
          <w:tcPr>
            <w:tcW w:w="1390" w:type="pct"/>
            <w:shd w:val="clear" w:color="auto" w:fill="auto"/>
            <w:noWrap/>
            <w:vAlign w:val="center"/>
            <w:hideMark/>
          </w:tcPr>
          <w:p w:rsidR="009C7AA7" w:rsidRPr="006C2B64" w:rsidRDefault="009C7AA7" w:rsidP="007C53C9">
            <w:pPr>
              <w:widowControl/>
              <w:spacing w:line="360" w:lineRule="auto"/>
              <w:jc w:val="center"/>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累计接入量（栋）</w:t>
            </w:r>
          </w:p>
        </w:tc>
        <w:tc>
          <w:tcPr>
            <w:tcW w:w="1526" w:type="pct"/>
            <w:shd w:val="clear" w:color="auto" w:fill="auto"/>
            <w:noWrap/>
            <w:vAlign w:val="center"/>
            <w:hideMark/>
          </w:tcPr>
          <w:p w:rsidR="009C7AA7" w:rsidRPr="006C2B64" w:rsidRDefault="009C7AA7" w:rsidP="007C53C9">
            <w:pPr>
              <w:widowControl/>
              <w:spacing w:line="360" w:lineRule="auto"/>
              <w:jc w:val="center"/>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覆盖建筑面积（</w:t>
            </w:r>
            <w:r w:rsidRPr="006C2B64">
              <w:rPr>
                <w:rFonts w:ascii="Times New Roman" w:eastAsia="仿宋_GB2312" w:hAnsi="Times New Roman" w:cstheme="majorBidi" w:hint="eastAsia"/>
                <w:color w:val="000000" w:themeColor="text1"/>
                <w:sz w:val="24"/>
                <w:szCs w:val="24"/>
              </w:rPr>
              <w:t>m</w:t>
            </w:r>
            <w:r w:rsidRPr="00F65235">
              <w:rPr>
                <w:rFonts w:ascii="Times New Roman" w:eastAsia="仿宋_GB2312" w:hAnsi="Times New Roman" w:cstheme="majorBidi" w:hint="eastAsia"/>
                <w:color w:val="000000" w:themeColor="text1"/>
                <w:sz w:val="24"/>
                <w:szCs w:val="24"/>
                <w:vertAlign w:val="superscript"/>
              </w:rPr>
              <w:t>2</w:t>
            </w:r>
            <w:r w:rsidRPr="006C2B64">
              <w:rPr>
                <w:rFonts w:ascii="Times New Roman" w:eastAsia="仿宋_GB2312" w:hAnsi="Times New Roman" w:cstheme="majorBidi" w:hint="eastAsia"/>
                <w:color w:val="000000" w:themeColor="text1"/>
                <w:sz w:val="24"/>
                <w:szCs w:val="24"/>
              </w:rPr>
              <w:t>）</w:t>
            </w:r>
          </w:p>
        </w:tc>
        <w:tc>
          <w:tcPr>
            <w:tcW w:w="1288" w:type="pct"/>
            <w:shd w:val="clear" w:color="auto" w:fill="auto"/>
            <w:noWrap/>
            <w:vAlign w:val="center"/>
            <w:hideMark/>
          </w:tcPr>
          <w:p w:rsidR="009C7AA7" w:rsidRPr="006C2B64" w:rsidRDefault="009C7AA7" w:rsidP="007C53C9">
            <w:pPr>
              <w:widowControl/>
              <w:spacing w:line="360" w:lineRule="auto"/>
              <w:jc w:val="center"/>
              <w:rPr>
                <w:rFonts w:ascii="Times New Roman" w:eastAsia="仿宋_GB2312" w:hAnsi="Times New Roman" w:cstheme="majorBidi"/>
                <w:color w:val="000000" w:themeColor="text1"/>
                <w:sz w:val="24"/>
                <w:szCs w:val="24"/>
              </w:rPr>
            </w:pPr>
            <w:r w:rsidRPr="00B44574">
              <w:rPr>
                <w:rFonts w:ascii="Times New Roman" w:eastAsia="仿宋_GB2312" w:hAnsi="Times New Roman" w:cstheme="majorBidi" w:hint="eastAsia"/>
                <w:color w:val="000000" w:themeColor="text1"/>
                <w:sz w:val="24"/>
                <w:szCs w:val="24"/>
              </w:rPr>
              <w:t>新增接入量（栋）</w:t>
            </w:r>
          </w:p>
        </w:tc>
      </w:tr>
      <w:tr w:rsidR="00B44574" w:rsidRPr="009C7AA7" w:rsidTr="00B30D92">
        <w:trPr>
          <w:trHeight w:val="280"/>
          <w:jc w:val="center"/>
        </w:trPr>
        <w:tc>
          <w:tcPr>
            <w:tcW w:w="796" w:type="pct"/>
            <w:shd w:val="clear" w:color="auto" w:fill="auto"/>
            <w:noWrap/>
            <w:vAlign w:val="center"/>
            <w:hideMark/>
          </w:tcPr>
          <w:p w:rsidR="00B44574" w:rsidRPr="006C2B64" w:rsidRDefault="00B44574" w:rsidP="007C53C9">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宝山区</w:t>
            </w:r>
          </w:p>
        </w:tc>
        <w:tc>
          <w:tcPr>
            <w:tcW w:w="1390" w:type="pct"/>
            <w:shd w:val="clear" w:color="auto" w:fill="auto"/>
            <w:noWrap/>
            <w:vAlign w:val="center"/>
            <w:hideMark/>
          </w:tcPr>
          <w:p w:rsidR="00B44574" w:rsidRPr="006C2B64" w:rsidRDefault="00B44574" w:rsidP="007C53C9">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38</w:t>
            </w:r>
          </w:p>
        </w:tc>
        <w:tc>
          <w:tcPr>
            <w:tcW w:w="1526" w:type="pct"/>
            <w:shd w:val="clear" w:color="auto" w:fill="auto"/>
            <w:noWrap/>
            <w:vAlign w:val="center"/>
            <w:hideMark/>
          </w:tcPr>
          <w:p w:rsidR="00B44574" w:rsidRPr="006C2B64" w:rsidRDefault="00B44574" w:rsidP="007C53C9">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1380075 </w:t>
            </w:r>
          </w:p>
        </w:tc>
        <w:tc>
          <w:tcPr>
            <w:tcW w:w="1288" w:type="pct"/>
            <w:shd w:val="clear" w:color="auto" w:fill="auto"/>
            <w:noWrap/>
            <w:vAlign w:val="center"/>
            <w:hideMark/>
          </w:tcPr>
          <w:p w:rsidR="00B44574" w:rsidRPr="006C2B64" w:rsidRDefault="00B44574" w:rsidP="007C53C9">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0</w:t>
            </w:r>
          </w:p>
        </w:tc>
      </w:tr>
      <w:tr w:rsidR="0084738E" w:rsidRPr="009C7AA7" w:rsidTr="00B30D92">
        <w:trPr>
          <w:trHeight w:val="280"/>
          <w:jc w:val="center"/>
        </w:trPr>
        <w:tc>
          <w:tcPr>
            <w:tcW w:w="796" w:type="pct"/>
            <w:shd w:val="clear" w:color="auto" w:fill="auto"/>
            <w:noWrap/>
            <w:vAlign w:val="center"/>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长宁区</w:t>
            </w:r>
          </w:p>
        </w:tc>
        <w:tc>
          <w:tcPr>
            <w:tcW w:w="1390" w:type="pct"/>
            <w:shd w:val="clear" w:color="auto" w:fill="auto"/>
            <w:noWrap/>
            <w:vAlign w:val="center"/>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112</w:t>
            </w:r>
          </w:p>
        </w:tc>
        <w:tc>
          <w:tcPr>
            <w:tcW w:w="1526" w:type="pct"/>
            <w:shd w:val="clear" w:color="auto" w:fill="auto"/>
            <w:noWrap/>
            <w:vAlign w:val="center"/>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5362698 </w:t>
            </w:r>
          </w:p>
        </w:tc>
        <w:tc>
          <w:tcPr>
            <w:tcW w:w="1288" w:type="pct"/>
            <w:shd w:val="clear" w:color="auto" w:fill="auto"/>
            <w:noWrap/>
            <w:vAlign w:val="center"/>
          </w:tcPr>
          <w:p w:rsidR="0084738E" w:rsidRPr="0046750E"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4</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崇明区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28</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272658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0</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奉贤区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13</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304629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1</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虹口区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89</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3850589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12</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黄浦区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244</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9537610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47</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嘉定区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64</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3588871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15</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金山区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23</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569824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12</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静安区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180</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10417689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35</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闵行区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31</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1327340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8</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浦东新区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213</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11188032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29</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普陀区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111</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5096131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19</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青浦区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25</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1056020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1</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松江区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68</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1917888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0</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徐汇区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178</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 xml:space="preserve">6823585 </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43</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杨浦区</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84</w:t>
            </w:r>
          </w:p>
        </w:tc>
        <w:tc>
          <w:tcPr>
            <w:tcW w:w="1526" w:type="pct"/>
            <w:shd w:val="clear" w:color="auto" w:fill="auto"/>
            <w:noWrap/>
            <w:vAlign w:val="center"/>
            <w:hideMark/>
          </w:tcPr>
          <w:p w:rsidR="0084738E" w:rsidRPr="006C2B64" w:rsidRDefault="00076A20" w:rsidP="0084738E">
            <w:pPr>
              <w:widowControl/>
              <w:spacing w:line="360" w:lineRule="auto"/>
              <w:jc w:val="right"/>
              <w:rPr>
                <w:rFonts w:ascii="Times New Roman" w:eastAsia="仿宋_GB2312" w:hAnsi="Times New Roman" w:cstheme="majorBidi"/>
                <w:color w:val="000000" w:themeColor="text1"/>
                <w:sz w:val="24"/>
                <w:szCs w:val="24"/>
              </w:rPr>
            </w:pPr>
            <w:r>
              <w:rPr>
                <w:rFonts w:ascii="Times New Roman" w:eastAsia="仿宋_GB2312" w:hAnsi="Times New Roman" w:cstheme="majorBidi" w:hint="eastAsia"/>
                <w:color w:val="000000" w:themeColor="text1"/>
                <w:sz w:val="24"/>
                <w:szCs w:val="24"/>
              </w:rPr>
              <w:t>3028717</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7</w:t>
            </w:r>
          </w:p>
        </w:tc>
      </w:tr>
      <w:tr w:rsidR="0084738E" w:rsidRPr="009C7AA7" w:rsidTr="00B30D92">
        <w:trPr>
          <w:trHeight w:val="280"/>
          <w:jc w:val="center"/>
        </w:trPr>
        <w:tc>
          <w:tcPr>
            <w:tcW w:w="796" w:type="pct"/>
            <w:shd w:val="clear" w:color="auto" w:fill="auto"/>
            <w:noWrap/>
            <w:vAlign w:val="center"/>
            <w:hideMark/>
          </w:tcPr>
          <w:p w:rsidR="0084738E" w:rsidRPr="006C2B64" w:rsidRDefault="0084738E" w:rsidP="0084738E">
            <w:pPr>
              <w:widowControl/>
              <w:spacing w:line="360" w:lineRule="auto"/>
              <w:jc w:val="lef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总计</w:t>
            </w:r>
          </w:p>
        </w:tc>
        <w:tc>
          <w:tcPr>
            <w:tcW w:w="1390"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1501</w:t>
            </w:r>
          </w:p>
        </w:tc>
        <w:tc>
          <w:tcPr>
            <w:tcW w:w="1526"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6C2B64">
              <w:rPr>
                <w:rFonts w:ascii="Times New Roman" w:eastAsia="仿宋_GB2312" w:hAnsi="Times New Roman" w:cstheme="majorBidi" w:hint="eastAsia"/>
                <w:color w:val="000000" w:themeColor="text1"/>
                <w:sz w:val="24"/>
                <w:szCs w:val="24"/>
              </w:rPr>
              <w:t>6572235</w:t>
            </w:r>
            <w:r w:rsidR="00076A20">
              <w:rPr>
                <w:rFonts w:ascii="Times New Roman" w:eastAsia="仿宋_GB2312" w:hAnsi="Times New Roman" w:cstheme="majorBidi" w:hint="eastAsia"/>
                <w:color w:val="000000" w:themeColor="text1"/>
                <w:sz w:val="24"/>
                <w:szCs w:val="24"/>
              </w:rPr>
              <w:t>6</w:t>
            </w:r>
          </w:p>
        </w:tc>
        <w:tc>
          <w:tcPr>
            <w:tcW w:w="1288" w:type="pct"/>
            <w:shd w:val="clear" w:color="auto" w:fill="auto"/>
            <w:noWrap/>
            <w:vAlign w:val="center"/>
            <w:hideMark/>
          </w:tcPr>
          <w:p w:rsidR="0084738E" w:rsidRPr="006C2B64" w:rsidRDefault="0084738E" w:rsidP="0084738E">
            <w:pPr>
              <w:widowControl/>
              <w:spacing w:line="360" w:lineRule="auto"/>
              <w:jc w:val="right"/>
              <w:rPr>
                <w:rFonts w:ascii="Times New Roman" w:eastAsia="仿宋_GB2312" w:hAnsi="Times New Roman" w:cstheme="majorBidi"/>
                <w:color w:val="000000" w:themeColor="text1"/>
                <w:sz w:val="24"/>
                <w:szCs w:val="24"/>
              </w:rPr>
            </w:pPr>
            <w:r w:rsidRPr="0046750E">
              <w:rPr>
                <w:rFonts w:ascii="Times New Roman" w:eastAsia="仿宋_GB2312" w:hAnsi="Times New Roman" w:cstheme="majorBidi"/>
                <w:color w:val="000000" w:themeColor="text1"/>
                <w:sz w:val="24"/>
                <w:szCs w:val="24"/>
              </w:rPr>
              <w:t>213</w:t>
            </w:r>
          </w:p>
        </w:tc>
      </w:tr>
    </w:tbl>
    <w:p w:rsidR="00F6614D" w:rsidRDefault="00F6614D" w:rsidP="00DB66EC">
      <w:pPr>
        <w:spacing w:beforeLines="50" w:line="360" w:lineRule="auto"/>
        <w:ind w:firstLine="420"/>
        <w:rPr>
          <w:rFonts w:ascii="仿宋_GB2312" w:eastAsia="仿宋_GB2312" w:hAnsi="仿宋" w:cstheme="minorBidi"/>
          <w:sz w:val="30"/>
          <w:szCs w:val="30"/>
        </w:rPr>
      </w:pPr>
    </w:p>
    <w:p w:rsidR="00FB27C7" w:rsidRDefault="001D613A" w:rsidP="00DB66EC">
      <w:pPr>
        <w:spacing w:beforeLines="50" w:line="360" w:lineRule="auto"/>
        <w:ind w:firstLine="420"/>
        <w:rPr>
          <w:rFonts w:ascii="仿宋_GB2312" w:eastAsia="仿宋_GB2312" w:hAnsi="仿宋" w:cstheme="minorBidi"/>
          <w:sz w:val="30"/>
          <w:szCs w:val="30"/>
        </w:rPr>
      </w:pPr>
      <w:r>
        <w:rPr>
          <w:rFonts w:ascii="仿宋_GB2312" w:eastAsia="仿宋_GB2312" w:hAnsi="仿宋" w:cstheme="minorBidi" w:hint="eastAsia"/>
          <w:sz w:val="30"/>
          <w:szCs w:val="30"/>
        </w:rPr>
        <w:lastRenderedPageBreak/>
        <w:t>按照建筑类型划分，各区不同类型公共建筑在线监测数量占比情况如图1</w:t>
      </w:r>
      <w:r w:rsidR="00636A78">
        <w:rPr>
          <w:rFonts w:ascii="仿宋_GB2312" w:eastAsia="仿宋_GB2312" w:hAnsi="仿宋" w:cstheme="minorBidi"/>
          <w:sz w:val="30"/>
          <w:szCs w:val="30"/>
        </w:rPr>
        <w:t>0</w:t>
      </w:r>
      <w:r>
        <w:rPr>
          <w:rFonts w:ascii="仿宋_GB2312" w:eastAsia="仿宋_GB2312" w:hAnsi="仿宋" w:cstheme="minorBidi" w:hint="eastAsia"/>
          <w:sz w:val="30"/>
          <w:szCs w:val="30"/>
        </w:rPr>
        <w:t>示。</w:t>
      </w:r>
    </w:p>
    <w:p w:rsidR="00636A78" w:rsidRPr="00FB27C7" w:rsidRDefault="0050561A" w:rsidP="00636A78">
      <w:pPr>
        <w:spacing w:line="360" w:lineRule="auto"/>
        <w:jc w:val="center"/>
        <w:rPr>
          <w:rFonts w:ascii="仿宋_GB2312" w:eastAsia="仿宋_GB2312" w:hAnsi="仿宋" w:cstheme="minorBidi"/>
          <w:sz w:val="30"/>
          <w:szCs w:val="30"/>
        </w:rPr>
      </w:pPr>
      <w:r>
        <w:rPr>
          <w:noProof/>
        </w:rPr>
        <w:drawing>
          <wp:inline distT="0" distB="0" distL="0" distR="0">
            <wp:extent cx="5278120" cy="36830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5118F" w:rsidRPr="00FB27C7" w:rsidRDefault="00FB27C7" w:rsidP="00DB66EC">
      <w:pPr>
        <w:spacing w:afterLines="50" w:line="360" w:lineRule="auto"/>
        <w:jc w:val="center"/>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图</w:t>
      </w:r>
      <w:r w:rsidR="00C71D4D">
        <w:rPr>
          <w:rFonts w:ascii="Times New Roman" w:eastAsia="仿宋" w:hAnsi="Times New Roman" w:hint="eastAsia"/>
          <w:color w:val="000000" w:themeColor="text1"/>
          <w:sz w:val="24"/>
          <w:szCs w:val="24"/>
        </w:rPr>
        <w:t>10</w:t>
      </w:r>
      <w:r w:rsidR="001D613A">
        <w:rPr>
          <w:rFonts w:ascii="Times New Roman" w:eastAsia="仿宋" w:hAnsi="Times New Roman" w:hint="eastAsia"/>
          <w:color w:val="000000" w:themeColor="text1"/>
          <w:sz w:val="24"/>
          <w:szCs w:val="24"/>
        </w:rPr>
        <w:t xml:space="preserve">  2016</w:t>
      </w:r>
      <w:r w:rsidR="00994615">
        <w:rPr>
          <w:rFonts w:ascii="Times New Roman" w:eastAsia="仿宋" w:hAnsi="Times New Roman" w:hint="eastAsia"/>
          <w:color w:val="000000" w:themeColor="text1"/>
          <w:sz w:val="24"/>
          <w:szCs w:val="24"/>
        </w:rPr>
        <w:t>年</w:t>
      </w:r>
      <w:r w:rsidR="001D613A">
        <w:rPr>
          <w:rFonts w:ascii="Times New Roman" w:eastAsia="仿宋" w:hAnsi="Times New Roman" w:hint="eastAsia"/>
          <w:color w:val="000000" w:themeColor="text1"/>
          <w:sz w:val="24"/>
          <w:szCs w:val="24"/>
        </w:rPr>
        <w:t>各区</w:t>
      </w:r>
      <w:r w:rsidR="00994615">
        <w:rPr>
          <w:rFonts w:ascii="Times New Roman" w:eastAsia="仿宋" w:hAnsi="Times New Roman" w:hint="eastAsia"/>
          <w:color w:val="000000" w:themeColor="text1"/>
          <w:sz w:val="24"/>
          <w:szCs w:val="24"/>
        </w:rPr>
        <w:t>接入能耗监测平台</w:t>
      </w:r>
      <w:r w:rsidR="008D583D">
        <w:rPr>
          <w:rFonts w:ascii="Times New Roman" w:eastAsia="仿宋" w:hAnsi="Times New Roman" w:hint="eastAsia"/>
          <w:color w:val="000000" w:themeColor="text1"/>
          <w:sz w:val="24"/>
          <w:szCs w:val="24"/>
        </w:rPr>
        <w:t>公共</w:t>
      </w:r>
      <w:r w:rsidR="00994615">
        <w:rPr>
          <w:rFonts w:ascii="Times New Roman" w:eastAsia="仿宋" w:hAnsi="Times New Roman" w:hint="eastAsia"/>
          <w:color w:val="000000" w:themeColor="text1"/>
          <w:sz w:val="24"/>
          <w:szCs w:val="24"/>
        </w:rPr>
        <w:t>建筑</w:t>
      </w:r>
      <w:r w:rsidR="001D613A" w:rsidRPr="001D613A">
        <w:rPr>
          <w:rFonts w:ascii="Times New Roman" w:eastAsia="仿宋_GB2312" w:hAnsi="Times New Roman" w:cstheme="majorBidi" w:hint="eastAsia"/>
          <w:color w:val="000000" w:themeColor="text1"/>
          <w:sz w:val="24"/>
          <w:szCs w:val="24"/>
        </w:rPr>
        <w:t>类型</w:t>
      </w:r>
      <w:r w:rsidR="00994615">
        <w:rPr>
          <w:rFonts w:ascii="Times New Roman" w:eastAsia="仿宋_GB2312" w:hAnsi="Times New Roman" w:cstheme="majorBidi" w:hint="eastAsia"/>
          <w:color w:val="000000" w:themeColor="text1"/>
          <w:sz w:val="24"/>
          <w:szCs w:val="24"/>
        </w:rPr>
        <w:t>分布</w:t>
      </w:r>
      <w:r w:rsidR="001D613A">
        <w:rPr>
          <w:rFonts w:ascii="Times New Roman" w:eastAsia="仿宋" w:hAnsi="Times New Roman" w:hint="eastAsia"/>
          <w:color w:val="000000" w:themeColor="text1"/>
          <w:sz w:val="24"/>
          <w:szCs w:val="24"/>
        </w:rPr>
        <w:t>情况</w:t>
      </w:r>
    </w:p>
    <w:p w:rsidR="00994615" w:rsidRDefault="004F0272" w:rsidP="00994615">
      <w:pPr>
        <w:pStyle w:val="3"/>
        <w:spacing w:before="0" w:after="0" w:line="415" w:lineRule="auto"/>
        <w:rPr>
          <w:rFonts w:ascii="仿宋_GB2312" w:eastAsia="仿宋_GB2312" w:hAnsi="仿宋" w:cstheme="minorBidi"/>
          <w:sz w:val="30"/>
          <w:szCs w:val="30"/>
        </w:rPr>
      </w:pPr>
      <w:bookmarkStart w:id="13" w:name="_Toc479753005"/>
      <w:r>
        <w:rPr>
          <w:rFonts w:ascii="黑体" w:eastAsia="黑体" w:hAnsi="黑体" w:cstheme="minorBidi" w:hint="eastAsia"/>
          <w:bCs w:val="0"/>
          <w:sz w:val="30"/>
          <w:szCs w:val="30"/>
        </w:rPr>
        <w:t>2</w:t>
      </w:r>
      <w:r w:rsidR="00753B72">
        <w:rPr>
          <w:rFonts w:ascii="黑体" w:eastAsia="黑体" w:hAnsi="黑体" w:cstheme="minorBidi" w:hint="eastAsia"/>
          <w:bCs w:val="0"/>
          <w:sz w:val="30"/>
          <w:szCs w:val="30"/>
        </w:rPr>
        <w:t>、</w:t>
      </w:r>
      <w:r w:rsidR="00636A78">
        <w:rPr>
          <w:rFonts w:ascii="黑体" w:eastAsia="黑体" w:hAnsi="黑体" w:cstheme="minorBidi" w:hint="eastAsia"/>
          <w:bCs w:val="0"/>
          <w:sz w:val="30"/>
          <w:szCs w:val="30"/>
        </w:rPr>
        <w:t>部分</w:t>
      </w:r>
      <w:r w:rsidR="00D637DD">
        <w:rPr>
          <w:rFonts w:ascii="黑体" w:eastAsia="黑体" w:hAnsi="黑体" w:cstheme="minorBidi" w:hint="eastAsia"/>
          <w:bCs w:val="0"/>
          <w:sz w:val="30"/>
          <w:szCs w:val="30"/>
        </w:rPr>
        <w:t>区级能耗监测平台工作</w:t>
      </w:r>
      <w:r>
        <w:rPr>
          <w:rFonts w:ascii="黑体" w:eastAsia="黑体" w:hAnsi="黑体" w:cstheme="minorBidi" w:hint="eastAsia"/>
          <w:bCs w:val="0"/>
          <w:sz w:val="30"/>
          <w:szCs w:val="30"/>
        </w:rPr>
        <w:t>介绍</w:t>
      </w:r>
      <w:bookmarkEnd w:id="13"/>
    </w:p>
    <w:p w:rsidR="00D637DD" w:rsidRDefault="00E43FAD" w:rsidP="00E43FAD">
      <w:pPr>
        <w:ind w:firstLineChars="200" w:firstLine="600"/>
        <w:rPr>
          <w:rFonts w:ascii="仿宋_GB2312" w:eastAsia="仿宋_GB2312" w:hAnsi="仿宋" w:cstheme="minorBidi"/>
          <w:sz w:val="30"/>
          <w:szCs w:val="30"/>
        </w:rPr>
      </w:pPr>
      <w:r w:rsidRPr="0046750E">
        <w:rPr>
          <w:rFonts w:ascii="仿宋_GB2312" w:eastAsia="仿宋_GB2312" w:hAnsi="仿宋" w:hint="eastAsia"/>
          <w:sz w:val="30"/>
          <w:szCs w:val="30"/>
        </w:rPr>
        <w:t>黄浦区是全市首个实现与市级平台数据对接的区级建筑能耗监测平台，目前接入楼宇数量</w:t>
      </w:r>
      <w:r>
        <w:rPr>
          <w:rFonts w:ascii="仿宋_GB2312" w:eastAsia="仿宋_GB2312" w:hAnsi="仿宋" w:hint="eastAsia"/>
          <w:sz w:val="30"/>
          <w:szCs w:val="30"/>
        </w:rPr>
        <w:t>超过</w:t>
      </w:r>
      <w:r w:rsidRPr="0046750E">
        <w:rPr>
          <w:rFonts w:ascii="仿宋_GB2312" w:eastAsia="仿宋_GB2312" w:hAnsi="仿宋" w:hint="eastAsia"/>
          <w:sz w:val="30"/>
          <w:szCs w:val="30"/>
        </w:rPr>
        <w:t>230幢，在全市率先试点开展水、燃气在线监测。同时完成了覆盖300余家区级公共机构的能耗管理体系建设，开发了能耗统计分析、节能目标考核、预警推送等功能，有效提高公共机构能耗上报管理工作的智能化水平。黄浦区于2016年成功申报国家级商业建筑需求侧管理示范项目并获得国家发改委批复同意，该项目以区建筑能耗监测平台为基础，进行需求侧响应调度管理试点，目前已完成多幢楼宇试点，实现多次在线调峰</w:t>
      </w:r>
      <w:r w:rsidR="00D637DD" w:rsidRPr="0046750E">
        <w:rPr>
          <w:rFonts w:ascii="仿宋_GB2312" w:eastAsia="仿宋_GB2312" w:hAnsi="仿宋" w:cstheme="minorBidi" w:hint="eastAsia"/>
          <w:sz w:val="30"/>
          <w:szCs w:val="30"/>
        </w:rPr>
        <w:t>。</w:t>
      </w:r>
    </w:p>
    <w:p w:rsidR="00D637DD" w:rsidRPr="00DA4364" w:rsidRDefault="00D637DD" w:rsidP="00E43FAD">
      <w:pPr>
        <w:ind w:firstLineChars="200" w:firstLine="600"/>
        <w:rPr>
          <w:rFonts w:ascii="仿宋_GB2312" w:eastAsia="仿宋_GB2312" w:hAnsi="仿宋" w:cstheme="minorBidi"/>
          <w:sz w:val="30"/>
          <w:szCs w:val="30"/>
        </w:rPr>
      </w:pPr>
      <w:r w:rsidRPr="00DA4364">
        <w:rPr>
          <w:rFonts w:ascii="仿宋_GB2312" w:eastAsia="仿宋_GB2312" w:hAnsi="仿宋" w:cstheme="minorBidi" w:hint="eastAsia"/>
          <w:sz w:val="30"/>
          <w:szCs w:val="30"/>
        </w:rPr>
        <w:lastRenderedPageBreak/>
        <w:t>普陀区自</w:t>
      </w:r>
      <w:r w:rsidRPr="00DA4364">
        <w:rPr>
          <w:rFonts w:ascii="仿宋_GB2312" w:eastAsia="仿宋_GB2312" w:hAnsi="仿宋" w:cstheme="minorBidi"/>
          <w:sz w:val="30"/>
          <w:szCs w:val="30"/>
        </w:rPr>
        <w:t>2015年建筑能耗监测平台升级以来，将楼宇用能分项计量现场运维与平台运维有机结合，初步确立了</w:t>
      </w:r>
      <w:r w:rsidRPr="00DA4364">
        <w:rPr>
          <w:rFonts w:ascii="仿宋_GB2312" w:eastAsia="仿宋_GB2312" w:hAnsi="仿宋" w:cstheme="minorBidi"/>
          <w:sz w:val="30"/>
          <w:szCs w:val="30"/>
        </w:rPr>
        <w:t>“</w:t>
      </w:r>
      <w:r w:rsidRPr="00DA4364">
        <w:rPr>
          <w:rFonts w:ascii="仿宋_GB2312" w:eastAsia="仿宋_GB2312" w:hAnsi="仿宋" w:cstheme="minorBidi"/>
          <w:sz w:val="30"/>
          <w:szCs w:val="30"/>
        </w:rPr>
        <w:t>两位一体</w:t>
      </w:r>
      <w:r w:rsidRPr="00DA4364">
        <w:rPr>
          <w:rFonts w:ascii="仿宋_GB2312" w:eastAsia="仿宋_GB2312" w:hAnsi="仿宋" w:cstheme="minorBidi"/>
          <w:sz w:val="30"/>
          <w:szCs w:val="30"/>
        </w:rPr>
        <w:t>”</w:t>
      </w:r>
      <w:r w:rsidRPr="00DA4364">
        <w:rPr>
          <w:rFonts w:ascii="仿宋_GB2312" w:eastAsia="仿宋_GB2312" w:hAnsi="仿宋" w:cstheme="minorBidi"/>
          <w:sz w:val="30"/>
          <w:szCs w:val="30"/>
        </w:rPr>
        <w:t>的运维管理框架体系。普陀区稳步推进既有和新建大型公共建筑项目的用能分项计量</w:t>
      </w:r>
      <w:r w:rsidR="008D583D">
        <w:rPr>
          <w:rFonts w:ascii="仿宋_GB2312" w:eastAsia="仿宋_GB2312" w:hAnsi="仿宋" w:cstheme="minorBidi" w:hint="eastAsia"/>
          <w:sz w:val="30"/>
          <w:szCs w:val="30"/>
        </w:rPr>
        <w:t>装置</w:t>
      </w:r>
      <w:r w:rsidRPr="00DA4364">
        <w:rPr>
          <w:rFonts w:ascii="仿宋_GB2312" w:eastAsia="仿宋_GB2312" w:hAnsi="仿宋" w:cstheme="minorBidi"/>
          <w:sz w:val="30"/>
          <w:szCs w:val="30"/>
        </w:rPr>
        <w:t>安装，并根据实际需求开展培训工作，提高楼宇业主节能改造的积极性。同时针对新建项目用能分项计量装置安装、监测数据接入和验收工作流程，制定安装验收备案办事指南、告知书、验收单等，明确了验收标准。此外，依托平台选取既有大型公共建筑项目，开展能源审计，查找楼宇运行管理的不足之处，从而发掘节能潜力，为之后开展节能改造、合同能源管理提供依据。</w:t>
      </w:r>
    </w:p>
    <w:p w:rsidR="00D637DD" w:rsidRPr="00DA4364" w:rsidRDefault="00D637DD" w:rsidP="00D637DD">
      <w:pPr>
        <w:ind w:firstLine="645"/>
        <w:jc w:val="left"/>
        <w:rPr>
          <w:rFonts w:ascii="仿宋_GB2312" w:eastAsia="仿宋_GB2312" w:hAnsi="仿宋" w:cstheme="minorBidi"/>
          <w:sz w:val="30"/>
          <w:szCs w:val="30"/>
        </w:rPr>
      </w:pPr>
      <w:r w:rsidRPr="00DA4364">
        <w:rPr>
          <w:rFonts w:ascii="仿宋_GB2312" w:eastAsia="仿宋_GB2312" w:hAnsi="仿宋" w:cstheme="minorBidi" w:hint="eastAsia"/>
          <w:sz w:val="30"/>
          <w:szCs w:val="30"/>
        </w:rPr>
        <w:t>浦东新区大力推动用能监测系统建设，通过开展《建筑用能监测系统运营维护现状调研》课题研究，浦东新区对纳入区建筑能耗监测平台的楼宇实施调查，掌握楼宇用能监测系统运行情况，确保建筑用能分项计量系统有效、持续、最大化</w:t>
      </w:r>
      <w:r w:rsidR="00782AF2">
        <w:rPr>
          <w:rFonts w:ascii="仿宋_GB2312" w:eastAsia="仿宋_GB2312" w:hAnsi="仿宋" w:cstheme="minorBidi" w:hint="eastAsia"/>
          <w:sz w:val="30"/>
          <w:szCs w:val="30"/>
        </w:rPr>
        <w:t>地</w:t>
      </w:r>
      <w:r w:rsidRPr="00DA4364">
        <w:rPr>
          <w:rFonts w:ascii="仿宋_GB2312" w:eastAsia="仿宋_GB2312" w:hAnsi="仿宋" w:cstheme="minorBidi" w:hint="eastAsia"/>
          <w:sz w:val="30"/>
          <w:szCs w:val="30"/>
        </w:rPr>
        <w:t>发挥作用。同时，浦东新区也积极推进能耗监测平台应用软件的整体升级，不断完善建筑用能监测、能耗统计、能效评估和用能预警等功能。自</w:t>
      </w:r>
      <w:r w:rsidRPr="00DA4364">
        <w:rPr>
          <w:rFonts w:ascii="仿宋_GB2312" w:eastAsia="仿宋_GB2312" w:hAnsi="仿宋" w:cstheme="minorBidi"/>
          <w:sz w:val="30"/>
          <w:szCs w:val="30"/>
        </w:rPr>
        <w:t>2015年起每年定期发布年度区建筑能耗监测平台能耗数据统计分析报告</w:t>
      </w:r>
      <w:r w:rsidRPr="00DA4364">
        <w:rPr>
          <w:rFonts w:ascii="仿宋_GB2312" w:eastAsia="仿宋_GB2312" w:hAnsi="仿宋" w:cstheme="minorBidi" w:hint="eastAsia"/>
          <w:sz w:val="30"/>
          <w:szCs w:val="30"/>
        </w:rPr>
        <w:t>，为</w:t>
      </w:r>
      <w:r w:rsidRPr="00DA4364">
        <w:rPr>
          <w:rFonts w:ascii="仿宋_GB2312" w:eastAsia="仿宋_GB2312" w:hAnsi="仿宋" w:cstheme="minorBidi"/>
          <w:sz w:val="30"/>
          <w:szCs w:val="30"/>
        </w:rPr>
        <w:t>相关管理部门、用能单位</w:t>
      </w:r>
      <w:r w:rsidRPr="00DA4364">
        <w:rPr>
          <w:rFonts w:ascii="仿宋_GB2312" w:eastAsia="仿宋_GB2312" w:hAnsi="仿宋" w:cstheme="minorBidi" w:hint="eastAsia"/>
          <w:sz w:val="30"/>
          <w:szCs w:val="30"/>
        </w:rPr>
        <w:t>等提供用能</w:t>
      </w:r>
      <w:r w:rsidRPr="00DA4364">
        <w:rPr>
          <w:rFonts w:ascii="仿宋_GB2312" w:eastAsia="仿宋_GB2312" w:hAnsi="仿宋" w:cstheme="minorBidi"/>
          <w:sz w:val="30"/>
          <w:szCs w:val="30"/>
        </w:rPr>
        <w:t>管理决策服务</w:t>
      </w:r>
      <w:r w:rsidRPr="00DA4364">
        <w:rPr>
          <w:rFonts w:ascii="仿宋_GB2312" w:eastAsia="仿宋_GB2312" w:hAnsi="仿宋" w:cstheme="minorBidi" w:hint="eastAsia"/>
          <w:sz w:val="30"/>
          <w:szCs w:val="30"/>
        </w:rPr>
        <w:t>和用能状况查询服务，推进</w:t>
      </w:r>
      <w:r w:rsidRPr="00DA4364">
        <w:rPr>
          <w:rFonts w:ascii="仿宋_GB2312" w:eastAsia="仿宋_GB2312" w:hAnsi="仿宋" w:cstheme="minorBidi"/>
          <w:sz w:val="30"/>
          <w:szCs w:val="30"/>
        </w:rPr>
        <w:t>建筑</w:t>
      </w:r>
      <w:r w:rsidRPr="00DA4364">
        <w:rPr>
          <w:rFonts w:ascii="仿宋_GB2312" w:eastAsia="仿宋_GB2312" w:hAnsi="仿宋" w:cstheme="minorBidi" w:hint="eastAsia"/>
          <w:sz w:val="30"/>
          <w:szCs w:val="30"/>
        </w:rPr>
        <w:t>能源利用</w:t>
      </w:r>
      <w:r w:rsidRPr="00DA4364">
        <w:rPr>
          <w:rFonts w:ascii="仿宋_GB2312" w:eastAsia="仿宋_GB2312" w:hAnsi="仿宋" w:cstheme="minorBidi"/>
          <w:sz w:val="30"/>
          <w:szCs w:val="30"/>
        </w:rPr>
        <w:t>效率的提高</w:t>
      </w:r>
      <w:r w:rsidRPr="00DA4364">
        <w:rPr>
          <w:rFonts w:ascii="仿宋_GB2312" w:eastAsia="仿宋_GB2312" w:hAnsi="仿宋" w:cstheme="minorBidi" w:hint="eastAsia"/>
          <w:sz w:val="30"/>
          <w:szCs w:val="30"/>
        </w:rPr>
        <w:t>。</w:t>
      </w:r>
    </w:p>
    <w:p w:rsidR="00C267EE" w:rsidRPr="00D637DD" w:rsidRDefault="00D637DD" w:rsidP="00DA4364">
      <w:pPr>
        <w:ind w:firstLine="420"/>
        <w:rPr>
          <w:rFonts w:ascii="仿宋_GB2312" w:eastAsia="仿宋_GB2312" w:hAnsi="仿宋" w:cstheme="minorBidi"/>
          <w:sz w:val="30"/>
          <w:szCs w:val="30"/>
        </w:rPr>
      </w:pPr>
      <w:r w:rsidRPr="00105EAE">
        <w:rPr>
          <w:rFonts w:ascii="仿宋_GB2312" w:eastAsia="仿宋_GB2312" w:hAnsi="仿宋" w:cstheme="minorBidi" w:hint="eastAsia"/>
          <w:sz w:val="30"/>
          <w:szCs w:val="30"/>
        </w:rPr>
        <w:t>虹桥商务区管理委员会自</w:t>
      </w:r>
      <w:r w:rsidRPr="00105EAE">
        <w:rPr>
          <w:rFonts w:ascii="仿宋_GB2312" w:eastAsia="仿宋_GB2312" w:hAnsi="仿宋" w:cstheme="minorBidi"/>
          <w:sz w:val="30"/>
          <w:szCs w:val="30"/>
        </w:rPr>
        <w:t>2014年起开始推进</w:t>
      </w:r>
      <w:r w:rsidRPr="00105EAE">
        <w:rPr>
          <w:rFonts w:ascii="仿宋_GB2312" w:eastAsia="仿宋_GB2312" w:hAnsi="仿宋" w:cstheme="minorBidi"/>
          <w:sz w:val="30"/>
          <w:szCs w:val="30"/>
        </w:rPr>
        <w:t>“</w:t>
      </w:r>
      <w:r w:rsidRPr="00105EAE">
        <w:rPr>
          <w:rFonts w:ascii="仿宋_GB2312" w:eastAsia="仿宋_GB2312" w:hAnsi="仿宋" w:cstheme="minorBidi"/>
          <w:sz w:val="30"/>
          <w:szCs w:val="30"/>
        </w:rPr>
        <w:t>商务区低碳能效监测平台</w:t>
      </w:r>
      <w:r w:rsidRPr="00105EAE">
        <w:rPr>
          <w:rFonts w:ascii="仿宋_GB2312" w:eastAsia="仿宋_GB2312" w:hAnsi="仿宋" w:cstheme="minorBidi"/>
          <w:sz w:val="30"/>
          <w:szCs w:val="30"/>
        </w:rPr>
        <w:t>”</w:t>
      </w:r>
      <w:r w:rsidRPr="00105EAE">
        <w:rPr>
          <w:rFonts w:ascii="仿宋_GB2312" w:eastAsia="仿宋_GB2312" w:hAnsi="仿宋" w:cstheme="minorBidi"/>
          <w:sz w:val="30"/>
          <w:szCs w:val="30"/>
        </w:rPr>
        <w:t>建设。历时2年， 2016年完成平台基础建设，</w:t>
      </w:r>
      <w:r w:rsidRPr="00105EAE">
        <w:rPr>
          <w:rFonts w:ascii="仿宋_GB2312" w:eastAsia="仿宋_GB2312" w:hAnsi="仿宋" w:cstheme="minorBidi" w:hint="eastAsia"/>
          <w:sz w:val="30"/>
          <w:szCs w:val="30"/>
        </w:rPr>
        <w:lastRenderedPageBreak/>
        <w:t>并正式上线运行。该平台具备区域能耗信息统计、形成区域指标体系，实现对标、公示、信息公开等服务内容，并实现与市级平台的联网与能耗数据上传。商务区内新建大型公共建筑项目完成后需开展用能分项计量专项验收，并在项目竣工备案中体现用能分项计量的专项内容。</w:t>
      </w:r>
    </w:p>
    <w:p w:rsidR="00277F6F" w:rsidRPr="00277F6F" w:rsidRDefault="00DA4364" w:rsidP="00277F6F">
      <w:pPr>
        <w:pStyle w:val="2"/>
        <w:rPr>
          <w:rFonts w:ascii="黑体" w:eastAsia="黑体" w:hAnsi="黑体" w:cs="Times New Roman"/>
          <w:bCs w:val="0"/>
          <w:color w:val="000000" w:themeColor="text1"/>
        </w:rPr>
      </w:pPr>
      <w:bookmarkStart w:id="14" w:name="_Toc479753006"/>
      <w:r>
        <w:rPr>
          <w:rFonts w:ascii="黑体" w:eastAsia="黑体" w:hAnsi="黑体" w:cs="Times New Roman" w:hint="eastAsia"/>
          <w:bCs w:val="0"/>
          <w:color w:val="000000" w:themeColor="text1"/>
        </w:rPr>
        <w:t>（二）</w:t>
      </w:r>
      <w:r w:rsidR="004F0272">
        <w:rPr>
          <w:rFonts w:ascii="黑体" w:eastAsia="黑体" w:hAnsi="黑体" w:cs="Times New Roman" w:hint="eastAsia"/>
          <w:bCs w:val="0"/>
          <w:color w:val="000000" w:themeColor="text1"/>
        </w:rPr>
        <w:t>城区</w:t>
      </w:r>
      <w:r w:rsidR="00277F6F" w:rsidRPr="00277F6F">
        <w:rPr>
          <w:rFonts w:ascii="黑体" w:eastAsia="黑体" w:hAnsi="黑体" w:cs="Times New Roman" w:hint="eastAsia"/>
          <w:bCs w:val="0"/>
          <w:color w:val="000000" w:themeColor="text1"/>
        </w:rPr>
        <w:t>分析</w:t>
      </w:r>
      <w:bookmarkEnd w:id="14"/>
    </w:p>
    <w:p w:rsidR="00277F6F" w:rsidRPr="00A36B13" w:rsidRDefault="004020A9" w:rsidP="001B19A9">
      <w:pPr>
        <w:pStyle w:val="3"/>
        <w:spacing w:before="0" w:after="0" w:line="415" w:lineRule="auto"/>
        <w:rPr>
          <w:rFonts w:ascii="黑体" w:eastAsia="黑体" w:hAnsi="黑体" w:cstheme="minorBidi"/>
          <w:bCs w:val="0"/>
          <w:sz w:val="30"/>
          <w:szCs w:val="30"/>
        </w:rPr>
      </w:pPr>
      <w:bookmarkStart w:id="15" w:name="_Toc479753007"/>
      <w:r w:rsidRPr="00A36B13">
        <w:rPr>
          <w:rFonts w:ascii="黑体" w:eastAsia="黑体" w:hAnsi="黑体" w:cstheme="minorBidi" w:hint="eastAsia"/>
          <w:bCs w:val="0"/>
          <w:sz w:val="30"/>
          <w:szCs w:val="30"/>
        </w:rPr>
        <w:t>1、</w:t>
      </w:r>
      <w:r w:rsidR="00583286">
        <w:rPr>
          <w:rFonts w:ascii="黑体" w:eastAsia="黑体" w:hAnsi="黑体" w:cstheme="minorBidi" w:hint="eastAsia"/>
          <w:bCs w:val="0"/>
          <w:sz w:val="30"/>
          <w:szCs w:val="30"/>
        </w:rPr>
        <w:t>中心城区</w:t>
      </w:r>
      <w:r w:rsidRPr="00A36B13">
        <w:rPr>
          <w:rFonts w:ascii="黑体" w:eastAsia="黑体" w:hAnsi="黑体" w:cstheme="minorBidi" w:hint="eastAsia"/>
          <w:bCs w:val="0"/>
          <w:sz w:val="30"/>
          <w:szCs w:val="30"/>
        </w:rPr>
        <w:t>与</w:t>
      </w:r>
      <w:r w:rsidR="00583286">
        <w:rPr>
          <w:rFonts w:ascii="黑体" w:eastAsia="黑体" w:hAnsi="黑体" w:cstheme="minorBidi" w:hint="eastAsia"/>
          <w:bCs w:val="0"/>
          <w:sz w:val="30"/>
          <w:szCs w:val="30"/>
        </w:rPr>
        <w:t>非中心城区</w:t>
      </w:r>
      <w:r w:rsidR="00A36B13" w:rsidRPr="00A36B13">
        <w:rPr>
          <w:rFonts w:ascii="黑体" w:eastAsia="黑体" w:hAnsi="黑体" w:cstheme="minorBidi" w:hint="eastAsia"/>
          <w:bCs w:val="0"/>
          <w:sz w:val="30"/>
          <w:szCs w:val="30"/>
        </w:rPr>
        <w:t>在线监测建筑</w:t>
      </w:r>
      <w:r w:rsidR="00C910F8">
        <w:rPr>
          <w:rFonts w:ascii="黑体" w:eastAsia="黑体" w:hAnsi="黑体" w:cstheme="minorBidi" w:hint="eastAsia"/>
          <w:bCs w:val="0"/>
          <w:sz w:val="30"/>
          <w:szCs w:val="30"/>
        </w:rPr>
        <w:t>数量</w:t>
      </w:r>
      <w:r w:rsidR="00583286">
        <w:rPr>
          <w:rFonts w:ascii="黑体" w:eastAsia="黑体" w:hAnsi="黑体" w:cstheme="minorBidi" w:hint="eastAsia"/>
          <w:bCs w:val="0"/>
          <w:sz w:val="30"/>
          <w:szCs w:val="30"/>
        </w:rPr>
        <w:t>分布</w:t>
      </w:r>
      <w:r w:rsidR="00A36B13" w:rsidRPr="00A36B13">
        <w:rPr>
          <w:rFonts w:ascii="黑体" w:eastAsia="黑体" w:hAnsi="黑体" w:cstheme="minorBidi" w:hint="eastAsia"/>
          <w:bCs w:val="0"/>
          <w:sz w:val="30"/>
          <w:szCs w:val="30"/>
        </w:rPr>
        <w:t>情况</w:t>
      </w:r>
      <w:bookmarkEnd w:id="15"/>
    </w:p>
    <w:p w:rsidR="00A36B13" w:rsidRDefault="003136CA" w:rsidP="00447492">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本报告所述</w:t>
      </w:r>
      <w:r w:rsidR="00583286">
        <w:rPr>
          <w:rFonts w:ascii="仿宋_GB2312" w:eastAsia="仿宋_GB2312" w:hAnsi="仿宋" w:cstheme="minorBidi" w:hint="eastAsia"/>
          <w:sz w:val="30"/>
          <w:szCs w:val="30"/>
        </w:rPr>
        <w:t>中心城区包含</w:t>
      </w:r>
      <w:r w:rsidR="008A35D3">
        <w:rPr>
          <w:rFonts w:ascii="仿宋_GB2312" w:eastAsia="仿宋_GB2312" w:hAnsi="仿宋" w:cstheme="minorBidi" w:hint="eastAsia"/>
          <w:sz w:val="30"/>
          <w:szCs w:val="30"/>
        </w:rPr>
        <w:t>长宁区、虹口区、</w:t>
      </w:r>
      <w:r>
        <w:rPr>
          <w:rFonts w:ascii="仿宋_GB2312" w:eastAsia="仿宋_GB2312" w:hAnsi="仿宋" w:cstheme="minorBidi" w:hint="eastAsia"/>
          <w:sz w:val="30"/>
          <w:szCs w:val="30"/>
        </w:rPr>
        <w:t>黄浦区、</w:t>
      </w:r>
      <w:r w:rsidR="008A35D3">
        <w:rPr>
          <w:rFonts w:ascii="仿宋_GB2312" w:eastAsia="仿宋_GB2312" w:hAnsi="仿宋" w:cstheme="minorBidi" w:hint="eastAsia"/>
          <w:sz w:val="30"/>
          <w:szCs w:val="30"/>
        </w:rPr>
        <w:t>静安区、普陀区、徐汇区及杨浦区</w:t>
      </w:r>
      <w:r>
        <w:rPr>
          <w:rFonts w:ascii="仿宋_GB2312" w:eastAsia="仿宋_GB2312" w:hAnsi="仿宋" w:cstheme="minorBidi" w:hint="eastAsia"/>
          <w:sz w:val="30"/>
          <w:szCs w:val="30"/>
        </w:rPr>
        <w:t>。</w:t>
      </w:r>
      <w:r w:rsidR="00A60ED6" w:rsidRPr="003136CA">
        <w:rPr>
          <w:rFonts w:ascii="仿宋_GB2312" w:eastAsia="仿宋_GB2312" w:hAnsi="仿宋" w:cstheme="minorBidi" w:hint="eastAsia"/>
          <w:sz w:val="30"/>
          <w:szCs w:val="30"/>
        </w:rPr>
        <w:t>2016</w:t>
      </w:r>
      <w:r w:rsidR="00583286">
        <w:rPr>
          <w:rFonts w:ascii="仿宋_GB2312" w:eastAsia="仿宋_GB2312" w:hAnsi="仿宋" w:cstheme="minorBidi" w:hint="eastAsia"/>
          <w:sz w:val="30"/>
          <w:szCs w:val="30"/>
        </w:rPr>
        <w:t>年</w:t>
      </w:r>
      <w:r w:rsidR="00A60ED6" w:rsidRPr="003136CA">
        <w:rPr>
          <w:rFonts w:ascii="仿宋_GB2312" w:eastAsia="仿宋_GB2312" w:hAnsi="仿宋" w:cstheme="minorBidi" w:hint="eastAsia"/>
          <w:sz w:val="30"/>
          <w:szCs w:val="30"/>
        </w:rPr>
        <w:t>，</w:t>
      </w:r>
      <w:r w:rsidR="00583286">
        <w:rPr>
          <w:rFonts w:ascii="仿宋_GB2312" w:eastAsia="仿宋_GB2312" w:hAnsi="仿宋" w:cstheme="minorBidi" w:hint="eastAsia"/>
          <w:sz w:val="30"/>
          <w:szCs w:val="30"/>
        </w:rPr>
        <w:t>接</w:t>
      </w:r>
      <w:r w:rsidR="008C5548" w:rsidRPr="003136CA">
        <w:rPr>
          <w:rFonts w:ascii="仿宋_GB2312" w:eastAsia="仿宋_GB2312" w:hAnsi="仿宋" w:cstheme="minorBidi" w:hint="eastAsia"/>
          <w:sz w:val="30"/>
          <w:szCs w:val="30"/>
        </w:rPr>
        <w:t>入</w:t>
      </w:r>
      <w:r w:rsidR="00696491">
        <w:rPr>
          <w:rFonts w:ascii="仿宋_GB2312" w:eastAsia="仿宋_GB2312" w:hAnsi="仿宋" w:cstheme="minorBidi" w:hint="eastAsia"/>
          <w:sz w:val="30"/>
          <w:szCs w:val="30"/>
        </w:rPr>
        <w:t>能耗监测平台</w:t>
      </w:r>
      <w:r w:rsidR="00583286">
        <w:rPr>
          <w:rFonts w:ascii="仿宋_GB2312" w:eastAsia="仿宋_GB2312" w:hAnsi="仿宋" w:cstheme="minorBidi" w:hint="eastAsia"/>
          <w:sz w:val="30"/>
          <w:szCs w:val="30"/>
        </w:rPr>
        <w:t>的公共建筑中，位于中心城区</w:t>
      </w:r>
      <w:r w:rsidR="008C5548" w:rsidRPr="003136CA">
        <w:rPr>
          <w:rFonts w:ascii="仿宋_GB2312" w:eastAsia="仿宋_GB2312" w:hAnsi="仿宋" w:cstheme="minorBidi" w:hint="eastAsia"/>
          <w:sz w:val="30"/>
          <w:szCs w:val="30"/>
        </w:rPr>
        <w:t>的建筑</w:t>
      </w:r>
      <w:r w:rsidR="00C910F8" w:rsidRPr="003136CA">
        <w:rPr>
          <w:rFonts w:ascii="仿宋_GB2312" w:eastAsia="仿宋_GB2312" w:hAnsi="仿宋" w:cstheme="minorBidi" w:hint="eastAsia"/>
          <w:sz w:val="30"/>
          <w:szCs w:val="30"/>
        </w:rPr>
        <w:t>数量</w:t>
      </w:r>
      <w:r w:rsidR="008C5548" w:rsidRPr="003136CA">
        <w:rPr>
          <w:rFonts w:ascii="仿宋_GB2312" w:eastAsia="仿宋_GB2312" w:hAnsi="仿宋" w:cstheme="minorBidi" w:hint="eastAsia"/>
          <w:sz w:val="30"/>
          <w:szCs w:val="30"/>
        </w:rPr>
        <w:t>占比为</w:t>
      </w:r>
      <w:r w:rsidR="00105EAE">
        <w:rPr>
          <w:rFonts w:ascii="仿宋_GB2312" w:eastAsia="仿宋_GB2312" w:hAnsi="仿宋" w:cstheme="minorBidi" w:hint="eastAsia"/>
          <w:sz w:val="30"/>
          <w:szCs w:val="30"/>
        </w:rPr>
        <w:t>66％</w:t>
      </w:r>
      <w:r w:rsidR="008C5548" w:rsidRPr="003136CA">
        <w:rPr>
          <w:rFonts w:ascii="仿宋_GB2312" w:eastAsia="仿宋_GB2312" w:hAnsi="仿宋" w:cstheme="minorBidi" w:hint="eastAsia"/>
          <w:sz w:val="30"/>
          <w:szCs w:val="30"/>
        </w:rPr>
        <w:t>，</w:t>
      </w:r>
      <w:r w:rsidR="003E5FE3" w:rsidRPr="003136CA">
        <w:rPr>
          <w:rFonts w:ascii="仿宋_GB2312" w:eastAsia="仿宋_GB2312" w:hAnsi="仿宋" w:cstheme="minorBidi" w:hint="eastAsia"/>
          <w:sz w:val="30"/>
          <w:szCs w:val="30"/>
        </w:rPr>
        <w:t>如</w:t>
      </w:r>
      <w:r w:rsidR="003E5FE3" w:rsidRPr="00676B65">
        <w:rPr>
          <w:rFonts w:ascii="仿宋_GB2312" w:eastAsia="仿宋_GB2312" w:hAnsi="仿宋" w:cstheme="minorBidi" w:hint="eastAsia"/>
          <w:sz w:val="30"/>
          <w:szCs w:val="30"/>
        </w:rPr>
        <w:t>图</w:t>
      </w:r>
      <w:r w:rsidR="00676B65" w:rsidRPr="00676B65">
        <w:rPr>
          <w:rFonts w:ascii="仿宋_GB2312" w:eastAsia="仿宋_GB2312" w:hAnsi="仿宋" w:cstheme="minorBidi"/>
          <w:sz w:val="30"/>
          <w:szCs w:val="30"/>
        </w:rPr>
        <w:t>11</w:t>
      </w:r>
      <w:r w:rsidR="003E5FE3" w:rsidRPr="003136CA">
        <w:rPr>
          <w:rFonts w:ascii="仿宋_GB2312" w:eastAsia="仿宋_GB2312" w:hAnsi="仿宋" w:cstheme="minorBidi" w:hint="eastAsia"/>
          <w:sz w:val="30"/>
          <w:szCs w:val="30"/>
        </w:rPr>
        <w:t>所示</w:t>
      </w:r>
      <w:r w:rsidR="00A60298">
        <w:rPr>
          <w:rFonts w:ascii="仿宋_GB2312" w:eastAsia="仿宋_GB2312" w:hAnsi="仿宋" w:cstheme="minorBidi" w:hint="eastAsia"/>
          <w:sz w:val="30"/>
          <w:szCs w:val="30"/>
        </w:rPr>
        <w:t>。2016年中心城区占比</w:t>
      </w:r>
      <w:r w:rsidR="00447492">
        <w:rPr>
          <w:rFonts w:ascii="仿宋_GB2312" w:eastAsia="仿宋_GB2312" w:hAnsi="仿宋" w:cstheme="minorBidi" w:hint="eastAsia"/>
          <w:sz w:val="30"/>
          <w:szCs w:val="30"/>
        </w:rPr>
        <w:t>与2015</w:t>
      </w:r>
      <w:r w:rsidR="008A35D3">
        <w:rPr>
          <w:rFonts w:ascii="仿宋_GB2312" w:eastAsia="仿宋_GB2312" w:hAnsi="仿宋" w:cstheme="minorBidi" w:hint="eastAsia"/>
          <w:sz w:val="30"/>
          <w:szCs w:val="30"/>
        </w:rPr>
        <w:t>年</w:t>
      </w:r>
      <w:r w:rsidR="00A60298">
        <w:rPr>
          <w:rFonts w:ascii="仿宋_GB2312" w:eastAsia="仿宋_GB2312" w:hAnsi="仿宋" w:cstheme="minorBidi" w:hint="eastAsia"/>
          <w:sz w:val="30"/>
          <w:szCs w:val="30"/>
        </w:rPr>
        <w:t>完全</w:t>
      </w:r>
      <w:r w:rsidR="00583286">
        <w:rPr>
          <w:rFonts w:ascii="仿宋_GB2312" w:eastAsia="仿宋_GB2312" w:hAnsi="仿宋" w:cstheme="minorBidi" w:hint="eastAsia"/>
          <w:sz w:val="30"/>
          <w:szCs w:val="30"/>
        </w:rPr>
        <w:t>相同</w:t>
      </w:r>
      <w:r w:rsidR="00447492">
        <w:rPr>
          <w:rFonts w:ascii="仿宋_GB2312" w:eastAsia="仿宋_GB2312" w:hAnsi="仿宋" w:cstheme="minorBidi" w:hint="eastAsia"/>
          <w:sz w:val="30"/>
          <w:szCs w:val="30"/>
        </w:rPr>
        <w:t>，说明</w:t>
      </w:r>
      <w:r w:rsidR="00583286">
        <w:rPr>
          <w:rFonts w:ascii="仿宋_GB2312" w:eastAsia="仿宋_GB2312" w:hAnsi="仿宋" w:cstheme="minorBidi" w:hint="eastAsia"/>
          <w:sz w:val="30"/>
          <w:szCs w:val="30"/>
        </w:rPr>
        <w:t>中心城区</w:t>
      </w:r>
      <w:r w:rsidR="00447492">
        <w:rPr>
          <w:rFonts w:ascii="仿宋_GB2312" w:eastAsia="仿宋_GB2312" w:hAnsi="仿宋" w:cstheme="minorBidi" w:hint="eastAsia"/>
          <w:sz w:val="30"/>
          <w:szCs w:val="30"/>
        </w:rPr>
        <w:t>与</w:t>
      </w:r>
      <w:r w:rsidR="00583286">
        <w:rPr>
          <w:rFonts w:ascii="仿宋_GB2312" w:eastAsia="仿宋_GB2312" w:hAnsi="仿宋" w:cstheme="minorBidi" w:hint="eastAsia"/>
          <w:sz w:val="30"/>
          <w:szCs w:val="30"/>
        </w:rPr>
        <w:t>非中心城区</w:t>
      </w:r>
      <w:r w:rsidR="002E161A">
        <w:rPr>
          <w:rFonts w:ascii="仿宋_GB2312" w:eastAsia="仿宋_GB2312" w:hAnsi="仿宋" w:cstheme="minorBidi" w:hint="eastAsia"/>
          <w:sz w:val="30"/>
          <w:szCs w:val="30"/>
        </w:rPr>
        <w:t>的公共建筑在线监测范围</w:t>
      </w:r>
      <w:r w:rsidR="00447492">
        <w:rPr>
          <w:rFonts w:ascii="仿宋_GB2312" w:eastAsia="仿宋_GB2312" w:hAnsi="仿宋" w:cstheme="minorBidi" w:hint="eastAsia"/>
          <w:sz w:val="30"/>
          <w:szCs w:val="30"/>
        </w:rPr>
        <w:t>同步</w:t>
      </w:r>
      <w:r w:rsidR="008C5548" w:rsidRPr="003136CA">
        <w:rPr>
          <w:rFonts w:ascii="仿宋_GB2312" w:eastAsia="仿宋_GB2312" w:hAnsi="仿宋" w:cstheme="minorBidi" w:hint="eastAsia"/>
          <w:sz w:val="30"/>
          <w:szCs w:val="30"/>
        </w:rPr>
        <w:t>扩大</w:t>
      </w:r>
      <w:r w:rsidR="00634E03" w:rsidRPr="003136CA">
        <w:rPr>
          <w:rFonts w:ascii="仿宋_GB2312" w:eastAsia="仿宋_GB2312" w:hAnsi="仿宋" w:cstheme="minorBidi" w:hint="eastAsia"/>
          <w:sz w:val="30"/>
          <w:szCs w:val="30"/>
        </w:rPr>
        <w:t>。</w:t>
      </w:r>
    </w:p>
    <w:p w:rsidR="00676B65" w:rsidRDefault="0050561A" w:rsidP="00676B65">
      <w:pPr>
        <w:jc w:val="center"/>
        <w:rPr>
          <w:rFonts w:ascii="仿宋_GB2312" w:eastAsia="仿宋_GB2312" w:hAnsi="仿宋" w:cstheme="minorBidi"/>
          <w:sz w:val="30"/>
          <w:szCs w:val="30"/>
        </w:rPr>
      </w:pPr>
      <w:r w:rsidRPr="0050561A">
        <w:rPr>
          <w:rFonts w:ascii="Times New Roman" w:hAnsi="Times New Roman"/>
          <w:noProof/>
        </w:rPr>
        <w:drawing>
          <wp:inline distT="0" distB="0" distL="0" distR="0">
            <wp:extent cx="4940300" cy="2508250"/>
            <wp:effectExtent l="0" t="0" r="0" b="6350"/>
            <wp:docPr id="41"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E1795" w:rsidRDefault="00DE1795" w:rsidP="00DB66EC">
      <w:pPr>
        <w:spacing w:afterLines="50"/>
        <w:jc w:val="center"/>
        <w:rPr>
          <w:rFonts w:ascii="Times New Roman" w:eastAsia="仿宋" w:hAnsi="Times New Roman"/>
          <w:color w:val="000000" w:themeColor="text1"/>
          <w:sz w:val="24"/>
          <w:szCs w:val="24"/>
        </w:rPr>
      </w:pPr>
      <w:r w:rsidRPr="00B20DF0">
        <w:rPr>
          <w:rFonts w:ascii="Times New Roman" w:eastAsia="仿宋" w:hAnsi="Times New Roman" w:hint="eastAsia"/>
          <w:color w:val="000000" w:themeColor="text1"/>
          <w:sz w:val="24"/>
          <w:szCs w:val="24"/>
        </w:rPr>
        <w:t>图</w:t>
      </w:r>
      <w:r w:rsidR="00C71D4D">
        <w:rPr>
          <w:rFonts w:ascii="Times New Roman" w:eastAsia="仿宋" w:hAnsi="Times New Roman" w:hint="eastAsia"/>
          <w:color w:val="000000" w:themeColor="text1"/>
          <w:sz w:val="24"/>
          <w:szCs w:val="24"/>
        </w:rPr>
        <w:t>11</w:t>
      </w:r>
      <w:r w:rsidR="00AB2DCF">
        <w:rPr>
          <w:rFonts w:ascii="Times New Roman" w:eastAsia="仿宋" w:hAnsi="Times New Roman" w:hint="eastAsia"/>
          <w:color w:val="000000" w:themeColor="text1"/>
          <w:sz w:val="24"/>
          <w:szCs w:val="24"/>
        </w:rPr>
        <w:t>2016</w:t>
      </w:r>
      <w:r w:rsidR="00583286">
        <w:rPr>
          <w:rFonts w:ascii="Times New Roman" w:eastAsia="仿宋" w:hAnsi="Times New Roman" w:hint="eastAsia"/>
          <w:color w:val="000000" w:themeColor="text1"/>
          <w:sz w:val="24"/>
          <w:szCs w:val="24"/>
        </w:rPr>
        <w:t>年接入</w:t>
      </w:r>
      <w:r w:rsidR="00696491">
        <w:rPr>
          <w:rFonts w:ascii="Times New Roman" w:eastAsia="仿宋" w:hAnsi="Times New Roman" w:hint="eastAsia"/>
          <w:color w:val="000000" w:themeColor="text1"/>
          <w:sz w:val="24"/>
          <w:szCs w:val="24"/>
        </w:rPr>
        <w:t>能耗监测平台</w:t>
      </w:r>
      <w:r w:rsidR="00AB2DCF">
        <w:rPr>
          <w:rFonts w:ascii="Times New Roman" w:eastAsia="仿宋" w:hAnsi="Times New Roman" w:hint="eastAsia"/>
          <w:color w:val="000000" w:themeColor="text1"/>
          <w:sz w:val="24"/>
          <w:szCs w:val="24"/>
        </w:rPr>
        <w:t>公共建筑</w:t>
      </w:r>
      <w:r w:rsidR="008A35D3">
        <w:rPr>
          <w:rFonts w:ascii="Times New Roman" w:eastAsia="仿宋" w:hAnsi="Times New Roman" w:hint="eastAsia"/>
          <w:color w:val="000000" w:themeColor="text1"/>
          <w:sz w:val="24"/>
          <w:szCs w:val="24"/>
        </w:rPr>
        <w:t>城区</w:t>
      </w:r>
      <w:r w:rsidR="00583286">
        <w:rPr>
          <w:rFonts w:ascii="Times New Roman" w:eastAsia="仿宋" w:hAnsi="Times New Roman" w:hint="eastAsia"/>
          <w:color w:val="000000" w:themeColor="text1"/>
          <w:sz w:val="24"/>
          <w:szCs w:val="24"/>
        </w:rPr>
        <w:t>分布</w:t>
      </w:r>
      <w:r w:rsidRPr="00B20DF0">
        <w:rPr>
          <w:rFonts w:ascii="Times New Roman" w:eastAsia="仿宋" w:hAnsi="Times New Roman" w:hint="eastAsia"/>
          <w:color w:val="000000" w:themeColor="text1"/>
          <w:sz w:val="24"/>
          <w:szCs w:val="24"/>
        </w:rPr>
        <w:t>情况</w:t>
      </w:r>
    </w:p>
    <w:p w:rsidR="00B20DF0" w:rsidRDefault="003E5FE3" w:rsidP="002E161A">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从</w:t>
      </w:r>
      <w:r w:rsidR="000371BB">
        <w:rPr>
          <w:rFonts w:ascii="仿宋_GB2312" w:eastAsia="仿宋_GB2312" w:hAnsi="仿宋" w:cstheme="minorBidi" w:hint="eastAsia"/>
          <w:sz w:val="30"/>
          <w:szCs w:val="30"/>
        </w:rPr>
        <w:t>2016</w:t>
      </w:r>
      <w:r w:rsidR="00583286">
        <w:rPr>
          <w:rFonts w:ascii="仿宋_GB2312" w:eastAsia="仿宋_GB2312" w:hAnsi="仿宋" w:cstheme="minorBidi" w:hint="eastAsia"/>
          <w:sz w:val="30"/>
          <w:szCs w:val="30"/>
        </w:rPr>
        <w:t>年中心城区</w:t>
      </w:r>
      <w:r>
        <w:rPr>
          <w:rFonts w:ascii="仿宋_GB2312" w:eastAsia="仿宋_GB2312" w:hAnsi="仿宋" w:cstheme="minorBidi" w:hint="eastAsia"/>
          <w:sz w:val="30"/>
          <w:szCs w:val="30"/>
        </w:rPr>
        <w:t>与</w:t>
      </w:r>
      <w:r w:rsidR="00583286">
        <w:rPr>
          <w:rFonts w:ascii="仿宋_GB2312" w:eastAsia="仿宋_GB2312" w:hAnsi="仿宋" w:cstheme="minorBidi" w:hint="eastAsia"/>
          <w:sz w:val="30"/>
          <w:szCs w:val="30"/>
        </w:rPr>
        <w:t>非中心城区</w:t>
      </w:r>
      <w:r>
        <w:rPr>
          <w:rFonts w:ascii="仿宋_GB2312" w:eastAsia="仿宋_GB2312" w:hAnsi="仿宋" w:cstheme="minorBidi" w:hint="eastAsia"/>
          <w:sz w:val="30"/>
          <w:szCs w:val="30"/>
        </w:rPr>
        <w:t>内各类型建筑的分布情况来看，</w:t>
      </w:r>
      <w:r w:rsidR="00583286">
        <w:rPr>
          <w:rFonts w:ascii="仿宋_GB2312" w:eastAsia="仿宋_GB2312" w:hAnsi="仿宋" w:cstheme="minorBidi" w:hint="eastAsia"/>
          <w:sz w:val="30"/>
          <w:szCs w:val="30"/>
        </w:rPr>
        <w:t>中心城区</w:t>
      </w:r>
      <w:r w:rsidR="00A60298">
        <w:rPr>
          <w:rFonts w:ascii="仿宋_GB2312" w:eastAsia="仿宋_GB2312" w:hAnsi="仿宋" w:cstheme="minorBidi" w:hint="eastAsia"/>
          <w:sz w:val="30"/>
          <w:szCs w:val="30"/>
        </w:rPr>
        <w:t>公共建筑中，办公建筑</w:t>
      </w:r>
      <w:r w:rsidR="00AD3487">
        <w:rPr>
          <w:rFonts w:ascii="仿宋_GB2312" w:eastAsia="仿宋_GB2312" w:hAnsi="仿宋" w:cstheme="minorBidi" w:hint="eastAsia"/>
          <w:sz w:val="30"/>
          <w:szCs w:val="30"/>
        </w:rPr>
        <w:t>占比最大，其次是综合</w:t>
      </w:r>
      <w:r w:rsidR="00AD3487">
        <w:rPr>
          <w:rFonts w:ascii="仿宋_GB2312" w:eastAsia="仿宋_GB2312" w:hAnsi="仿宋" w:cstheme="minorBidi" w:hint="eastAsia"/>
          <w:sz w:val="30"/>
          <w:szCs w:val="30"/>
        </w:rPr>
        <w:lastRenderedPageBreak/>
        <w:t>建筑、</w:t>
      </w:r>
      <w:r w:rsidR="00A60298">
        <w:rPr>
          <w:rFonts w:ascii="仿宋_GB2312" w:eastAsia="仿宋_GB2312" w:hAnsi="仿宋" w:cstheme="minorBidi" w:hint="eastAsia"/>
          <w:sz w:val="30"/>
          <w:szCs w:val="30"/>
        </w:rPr>
        <w:t>商场建筑、旅游饭店建筑</w:t>
      </w:r>
      <w:r w:rsidR="00AD3487">
        <w:rPr>
          <w:rFonts w:ascii="仿宋_GB2312" w:eastAsia="仿宋_GB2312" w:hAnsi="仿宋" w:cstheme="minorBidi" w:hint="eastAsia"/>
          <w:sz w:val="30"/>
          <w:szCs w:val="30"/>
        </w:rPr>
        <w:t>；</w:t>
      </w:r>
      <w:r w:rsidR="00583286">
        <w:rPr>
          <w:rFonts w:ascii="仿宋_GB2312" w:eastAsia="仿宋_GB2312" w:hAnsi="仿宋" w:cstheme="minorBidi" w:hint="eastAsia"/>
          <w:sz w:val="30"/>
          <w:szCs w:val="30"/>
        </w:rPr>
        <w:t>非中心城区</w:t>
      </w:r>
      <w:r w:rsidR="000371BB">
        <w:rPr>
          <w:rFonts w:ascii="仿宋_GB2312" w:eastAsia="仿宋_GB2312" w:hAnsi="仿宋" w:cstheme="minorBidi" w:hint="eastAsia"/>
          <w:sz w:val="30"/>
          <w:szCs w:val="30"/>
        </w:rPr>
        <w:t>公共建筑中，</w:t>
      </w:r>
      <w:r w:rsidR="00A60298">
        <w:rPr>
          <w:rFonts w:ascii="仿宋_GB2312" w:eastAsia="仿宋_GB2312" w:hAnsi="仿宋" w:cstheme="minorBidi" w:hint="eastAsia"/>
          <w:sz w:val="30"/>
          <w:szCs w:val="30"/>
        </w:rPr>
        <w:t>国家机关办公建筑、办公建筑</w:t>
      </w:r>
      <w:r w:rsidR="00AD3487">
        <w:rPr>
          <w:rFonts w:ascii="仿宋_GB2312" w:eastAsia="仿宋_GB2312" w:hAnsi="仿宋" w:cstheme="minorBidi" w:hint="eastAsia"/>
          <w:sz w:val="30"/>
          <w:szCs w:val="30"/>
        </w:rPr>
        <w:t>、</w:t>
      </w:r>
      <w:r w:rsidR="00A60298">
        <w:rPr>
          <w:rFonts w:ascii="仿宋_GB2312" w:eastAsia="仿宋_GB2312" w:hAnsi="仿宋" w:cstheme="minorBidi" w:hint="eastAsia"/>
          <w:sz w:val="30"/>
          <w:szCs w:val="30"/>
        </w:rPr>
        <w:t>旅游饭店建筑和</w:t>
      </w:r>
      <w:r w:rsidR="009F7DF8">
        <w:rPr>
          <w:rFonts w:ascii="仿宋_GB2312" w:eastAsia="仿宋_GB2312" w:hAnsi="仿宋" w:cstheme="minorBidi" w:hint="eastAsia"/>
          <w:sz w:val="30"/>
          <w:szCs w:val="30"/>
        </w:rPr>
        <w:t>商场建筑</w:t>
      </w:r>
      <w:r w:rsidR="00AD3487">
        <w:rPr>
          <w:rFonts w:ascii="仿宋_GB2312" w:eastAsia="仿宋_GB2312" w:hAnsi="仿宋" w:cstheme="minorBidi" w:hint="eastAsia"/>
          <w:sz w:val="30"/>
          <w:szCs w:val="30"/>
        </w:rPr>
        <w:t>占</w:t>
      </w:r>
      <w:r w:rsidR="00B40718">
        <w:rPr>
          <w:rFonts w:ascii="仿宋_GB2312" w:eastAsia="仿宋_GB2312" w:hAnsi="仿宋" w:cstheme="minorBidi" w:hint="eastAsia"/>
          <w:sz w:val="30"/>
          <w:szCs w:val="30"/>
        </w:rPr>
        <w:t>比</w:t>
      </w:r>
      <w:r w:rsidR="00AD3487">
        <w:rPr>
          <w:rFonts w:ascii="仿宋_GB2312" w:eastAsia="仿宋_GB2312" w:hAnsi="仿宋" w:cstheme="minorBidi" w:hint="eastAsia"/>
          <w:sz w:val="30"/>
          <w:szCs w:val="30"/>
        </w:rPr>
        <w:t>较大</w:t>
      </w:r>
      <w:r w:rsidR="00A60298">
        <w:rPr>
          <w:rFonts w:ascii="仿宋_GB2312" w:eastAsia="仿宋_GB2312" w:hAnsi="仿宋" w:cstheme="minorBidi" w:hint="eastAsia"/>
          <w:sz w:val="30"/>
          <w:szCs w:val="30"/>
        </w:rPr>
        <w:t>，</w:t>
      </w:r>
      <w:r w:rsidR="00AD3487">
        <w:rPr>
          <w:rFonts w:ascii="仿宋_GB2312" w:eastAsia="仿宋_GB2312" w:hAnsi="仿宋" w:cstheme="minorBidi" w:hint="eastAsia"/>
          <w:sz w:val="30"/>
          <w:szCs w:val="30"/>
        </w:rPr>
        <w:t>且四类</w:t>
      </w:r>
      <w:r w:rsidR="00676B65">
        <w:rPr>
          <w:rFonts w:ascii="仿宋_GB2312" w:eastAsia="仿宋_GB2312" w:hAnsi="仿宋" w:cstheme="minorBidi" w:hint="eastAsia"/>
          <w:sz w:val="30"/>
          <w:szCs w:val="30"/>
        </w:rPr>
        <w:t>建筑</w:t>
      </w:r>
      <w:r w:rsidR="00AD3487">
        <w:rPr>
          <w:rFonts w:ascii="仿宋_GB2312" w:eastAsia="仿宋_GB2312" w:hAnsi="仿宋" w:cstheme="minorBidi" w:hint="eastAsia"/>
          <w:sz w:val="30"/>
          <w:szCs w:val="30"/>
        </w:rPr>
        <w:t>占比较为接近，</w:t>
      </w:r>
      <w:r w:rsidR="009F7DF8">
        <w:rPr>
          <w:rFonts w:ascii="仿宋_GB2312" w:eastAsia="仿宋_GB2312" w:hAnsi="仿宋" w:cstheme="minorBidi" w:hint="eastAsia"/>
          <w:sz w:val="30"/>
          <w:szCs w:val="30"/>
        </w:rPr>
        <w:t>如</w:t>
      </w:r>
      <w:r w:rsidR="009F7DF8" w:rsidRPr="00676B65">
        <w:rPr>
          <w:rFonts w:ascii="仿宋_GB2312" w:eastAsia="仿宋_GB2312" w:hAnsi="仿宋" w:cstheme="minorBidi" w:hint="eastAsia"/>
          <w:sz w:val="30"/>
          <w:szCs w:val="30"/>
        </w:rPr>
        <w:t>图</w:t>
      </w:r>
      <w:r w:rsidR="00676B65" w:rsidRPr="00676B65">
        <w:rPr>
          <w:rFonts w:ascii="仿宋_GB2312" w:eastAsia="仿宋_GB2312" w:hAnsi="仿宋" w:cstheme="minorBidi"/>
          <w:sz w:val="30"/>
          <w:szCs w:val="30"/>
        </w:rPr>
        <w:t>12</w:t>
      </w:r>
      <w:r w:rsidR="009F7DF8">
        <w:rPr>
          <w:rFonts w:ascii="仿宋_GB2312" w:eastAsia="仿宋_GB2312" w:hAnsi="仿宋" w:cstheme="minorBidi" w:hint="eastAsia"/>
          <w:sz w:val="30"/>
          <w:szCs w:val="30"/>
        </w:rPr>
        <w:t>所示。</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8"/>
      </w:tblGrid>
      <w:tr w:rsidR="00AD2531" w:rsidTr="00AD2531">
        <w:tc>
          <w:tcPr>
            <w:tcW w:w="8528" w:type="dxa"/>
          </w:tcPr>
          <w:p w:rsidR="00AD2531" w:rsidRDefault="000A48AD" w:rsidP="002E161A">
            <w:pPr>
              <w:rPr>
                <w:rFonts w:ascii="仿宋_GB2312" w:eastAsia="仿宋_GB2312" w:hAnsi="仿宋" w:cstheme="minorBidi"/>
                <w:sz w:val="30"/>
                <w:szCs w:val="30"/>
              </w:rPr>
            </w:pPr>
            <w:r>
              <w:rPr>
                <w:rFonts w:ascii="仿宋_GB2312" w:eastAsia="仿宋_GB2312" w:hAnsi="仿宋" w:cstheme="minorBidi"/>
                <w:noProof/>
                <w:sz w:val="30"/>
                <w:szCs w:val="30"/>
              </w:rPr>
              <w:pict>
                <v:line id="直接连接符 5" o:spid="_x0000_s1026" style="position:absolute;left:0;text-align:left;flip:y;z-index:251656192;visibility:visible" from="227.15pt,127.5pt" to="237.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" strokecolor="#70ad47 [3209]" strokeweight=".5pt">
                  <v:stroke joinstyle="miter"/>
                </v:line>
              </w:pict>
            </w:r>
            <w:r>
              <w:rPr>
                <w:rFonts w:ascii="仿宋_GB2312" w:eastAsia="仿宋_GB2312" w:hAnsi="仿宋" w:cstheme="minorBidi"/>
                <w:noProof/>
                <w:sz w:val="30"/>
                <w:szCs w:val="30"/>
              </w:rPr>
              <w:pict>
                <v:line id="直接连接符 7" o:spid="_x0000_s1027" style="position:absolute;left:0;text-align:left;flip:y;z-index:251666432;visibility:visible" from="228.65pt,122pt" to="236.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" strokecolor="#5b9bd5 [3204]" strokeweight=".5pt">
                  <v:stroke joinstyle="miter"/>
                </v:line>
              </w:pict>
            </w:r>
            <w:r w:rsidR="0050561A">
              <w:rPr>
                <w:noProof/>
              </w:rPr>
              <w:drawing>
                <wp:inline distT="0" distB="0" distL="0" distR="0">
                  <wp:extent cx="5168900" cy="2743200"/>
                  <wp:effectExtent l="0" t="0" r="0" b="0"/>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rsidR="00DE1795" w:rsidRPr="00B20DF0" w:rsidRDefault="00DE1795" w:rsidP="00DB66EC">
      <w:pPr>
        <w:spacing w:afterLines="50"/>
        <w:jc w:val="center"/>
        <w:rPr>
          <w:rFonts w:ascii="Times New Roman" w:eastAsia="仿宋" w:hAnsi="Times New Roman"/>
          <w:color w:val="000000" w:themeColor="text1"/>
          <w:sz w:val="24"/>
          <w:szCs w:val="24"/>
        </w:rPr>
      </w:pPr>
      <w:r w:rsidRPr="00B20DF0">
        <w:rPr>
          <w:rFonts w:ascii="Times New Roman" w:eastAsia="仿宋" w:hAnsi="Times New Roman" w:hint="eastAsia"/>
          <w:color w:val="000000" w:themeColor="text1"/>
          <w:sz w:val="24"/>
          <w:szCs w:val="24"/>
        </w:rPr>
        <w:t>图</w:t>
      </w:r>
      <w:r w:rsidR="00C71D4D">
        <w:rPr>
          <w:rFonts w:ascii="Times New Roman" w:eastAsia="仿宋" w:hAnsi="Times New Roman" w:hint="eastAsia"/>
          <w:color w:val="000000" w:themeColor="text1"/>
          <w:sz w:val="24"/>
          <w:szCs w:val="24"/>
        </w:rPr>
        <w:t>12</w:t>
      </w:r>
      <w:r w:rsidR="003E5FE3">
        <w:rPr>
          <w:rFonts w:ascii="Times New Roman" w:eastAsia="仿宋" w:hAnsi="Times New Roman" w:hint="eastAsia"/>
          <w:color w:val="000000" w:themeColor="text1"/>
          <w:sz w:val="24"/>
          <w:szCs w:val="24"/>
        </w:rPr>
        <w:t>2016</w:t>
      </w:r>
      <w:r w:rsidR="00D1173F">
        <w:rPr>
          <w:rFonts w:ascii="Times New Roman" w:eastAsia="仿宋" w:hAnsi="Times New Roman" w:hint="eastAsia"/>
          <w:color w:val="000000" w:themeColor="text1"/>
          <w:sz w:val="24"/>
          <w:szCs w:val="24"/>
        </w:rPr>
        <w:t>年</w:t>
      </w:r>
      <w:r w:rsidR="00583286">
        <w:rPr>
          <w:rFonts w:ascii="Times New Roman" w:eastAsia="仿宋" w:hAnsi="Times New Roman" w:hint="eastAsia"/>
          <w:color w:val="000000" w:themeColor="text1"/>
          <w:sz w:val="24"/>
          <w:szCs w:val="24"/>
        </w:rPr>
        <w:t>中心城区</w:t>
      </w:r>
      <w:r w:rsidR="003E5FE3">
        <w:rPr>
          <w:rFonts w:ascii="Times New Roman" w:eastAsia="仿宋" w:hAnsi="Times New Roman" w:hint="eastAsia"/>
          <w:color w:val="000000" w:themeColor="text1"/>
          <w:sz w:val="24"/>
          <w:szCs w:val="24"/>
        </w:rPr>
        <w:t>与</w:t>
      </w:r>
      <w:r w:rsidR="00583286">
        <w:rPr>
          <w:rFonts w:ascii="Times New Roman" w:eastAsia="仿宋" w:hAnsi="Times New Roman" w:hint="eastAsia"/>
          <w:color w:val="000000" w:themeColor="text1"/>
          <w:sz w:val="24"/>
          <w:szCs w:val="24"/>
        </w:rPr>
        <w:t>非中心城区</w:t>
      </w:r>
      <w:r w:rsidRPr="00B20DF0">
        <w:rPr>
          <w:rFonts w:ascii="Times New Roman" w:eastAsia="仿宋" w:hAnsi="Times New Roman" w:hint="eastAsia"/>
          <w:color w:val="000000" w:themeColor="text1"/>
          <w:sz w:val="24"/>
          <w:szCs w:val="24"/>
        </w:rPr>
        <w:t>各类型</w:t>
      </w:r>
      <w:r w:rsidR="003E5FE3">
        <w:rPr>
          <w:rFonts w:ascii="Times New Roman" w:eastAsia="仿宋" w:hAnsi="Times New Roman" w:hint="eastAsia"/>
          <w:color w:val="000000" w:themeColor="text1"/>
          <w:sz w:val="24"/>
          <w:szCs w:val="24"/>
        </w:rPr>
        <w:t>建筑</w:t>
      </w:r>
      <w:r w:rsidRPr="00B20DF0">
        <w:rPr>
          <w:rFonts w:ascii="Times New Roman" w:eastAsia="仿宋" w:hAnsi="Times New Roman" w:hint="eastAsia"/>
          <w:color w:val="000000" w:themeColor="text1"/>
          <w:sz w:val="24"/>
          <w:szCs w:val="24"/>
        </w:rPr>
        <w:t>分布情况</w:t>
      </w:r>
    </w:p>
    <w:p w:rsidR="00A36B13" w:rsidRPr="00A36B13" w:rsidRDefault="00A36B13" w:rsidP="001B19A9">
      <w:pPr>
        <w:pStyle w:val="3"/>
        <w:spacing w:before="0" w:after="0" w:line="415" w:lineRule="auto"/>
        <w:rPr>
          <w:rFonts w:ascii="黑体" w:eastAsia="黑体" w:hAnsi="黑体" w:cstheme="minorBidi"/>
          <w:bCs w:val="0"/>
          <w:sz w:val="30"/>
          <w:szCs w:val="30"/>
        </w:rPr>
      </w:pPr>
      <w:bookmarkStart w:id="16" w:name="_Toc479753008"/>
      <w:r w:rsidRPr="00A36B13">
        <w:rPr>
          <w:rFonts w:ascii="黑体" w:eastAsia="黑体" w:hAnsi="黑体" w:cstheme="minorBidi" w:hint="eastAsia"/>
          <w:bCs w:val="0"/>
          <w:sz w:val="30"/>
          <w:szCs w:val="30"/>
        </w:rPr>
        <w:t>2</w:t>
      </w:r>
      <w:r w:rsidR="003F7AA0">
        <w:rPr>
          <w:rFonts w:ascii="黑体" w:eastAsia="黑体" w:hAnsi="黑体" w:cstheme="minorBidi" w:hint="eastAsia"/>
          <w:bCs w:val="0"/>
          <w:sz w:val="30"/>
          <w:szCs w:val="30"/>
        </w:rPr>
        <w:t>、</w:t>
      </w:r>
      <w:r w:rsidR="00583286">
        <w:rPr>
          <w:rFonts w:ascii="黑体" w:eastAsia="黑体" w:hAnsi="黑体" w:cstheme="minorBidi" w:hint="eastAsia"/>
          <w:bCs w:val="0"/>
          <w:sz w:val="30"/>
          <w:szCs w:val="30"/>
        </w:rPr>
        <w:t>中心城区</w:t>
      </w:r>
      <w:r w:rsidRPr="00A36B13">
        <w:rPr>
          <w:rFonts w:ascii="黑体" w:eastAsia="黑体" w:hAnsi="黑体" w:cstheme="minorBidi" w:hint="eastAsia"/>
          <w:bCs w:val="0"/>
          <w:sz w:val="30"/>
          <w:szCs w:val="30"/>
        </w:rPr>
        <w:t>与</w:t>
      </w:r>
      <w:r w:rsidR="00583286">
        <w:rPr>
          <w:rFonts w:ascii="黑体" w:eastAsia="黑体" w:hAnsi="黑体" w:cstheme="minorBidi" w:hint="eastAsia"/>
          <w:bCs w:val="0"/>
          <w:sz w:val="30"/>
          <w:szCs w:val="30"/>
        </w:rPr>
        <w:t>非中心城区</w:t>
      </w:r>
      <w:r w:rsidRPr="00A36B13">
        <w:rPr>
          <w:rFonts w:ascii="黑体" w:eastAsia="黑体" w:hAnsi="黑体" w:cstheme="minorBidi" w:hint="eastAsia"/>
          <w:bCs w:val="0"/>
          <w:sz w:val="30"/>
          <w:szCs w:val="30"/>
        </w:rPr>
        <w:t>建筑用电</w:t>
      </w:r>
      <w:r w:rsidR="003F7AA0">
        <w:rPr>
          <w:rFonts w:ascii="黑体" w:eastAsia="黑体" w:hAnsi="黑体" w:cstheme="minorBidi" w:hint="eastAsia"/>
          <w:bCs w:val="0"/>
          <w:sz w:val="30"/>
          <w:szCs w:val="30"/>
        </w:rPr>
        <w:t>量</w:t>
      </w:r>
      <w:r w:rsidRPr="00A36B13">
        <w:rPr>
          <w:rFonts w:ascii="黑体" w:eastAsia="黑体" w:hAnsi="黑体" w:cstheme="minorBidi" w:hint="eastAsia"/>
          <w:bCs w:val="0"/>
          <w:sz w:val="30"/>
          <w:szCs w:val="30"/>
        </w:rPr>
        <w:t>情况</w:t>
      </w:r>
      <w:r w:rsidR="003F7AA0">
        <w:rPr>
          <w:rFonts w:ascii="黑体" w:eastAsia="黑体" w:hAnsi="黑体" w:cstheme="minorBidi" w:hint="eastAsia"/>
          <w:bCs w:val="0"/>
          <w:sz w:val="30"/>
          <w:szCs w:val="30"/>
        </w:rPr>
        <w:t>分析</w:t>
      </w:r>
      <w:bookmarkEnd w:id="16"/>
    </w:p>
    <w:p w:rsidR="006771A1" w:rsidRDefault="000103A3" w:rsidP="00447492">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2016</w:t>
      </w:r>
      <w:r w:rsidR="003F7AA0">
        <w:rPr>
          <w:rFonts w:ascii="仿宋_GB2312" w:eastAsia="仿宋_GB2312" w:hAnsi="仿宋" w:cstheme="minorBidi" w:hint="eastAsia"/>
          <w:sz w:val="30"/>
          <w:szCs w:val="30"/>
        </w:rPr>
        <w:t>年</w:t>
      </w:r>
      <w:r>
        <w:rPr>
          <w:rFonts w:ascii="仿宋_GB2312" w:eastAsia="仿宋_GB2312" w:hAnsi="仿宋" w:cstheme="minorBidi" w:hint="eastAsia"/>
          <w:sz w:val="30"/>
          <w:szCs w:val="30"/>
        </w:rPr>
        <w:t>，</w:t>
      </w:r>
      <w:r w:rsidR="00583286">
        <w:rPr>
          <w:rFonts w:ascii="仿宋_GB2312" w:eastAsia="仿宋_GB2312" w:hAnsi="仿宋" w:cstheme="minorBidi" w:hint="eastAsia"/>
          <w:sz w:val="30"/>
          <w:szCs w:val="30"/>
        </w:rPr>
        <w:t>中心城区</w:t>
      </w:r>
      <w:r w:rsidR="005C06B9">
        <w:rPr>
          <w:rFonts w:ascii="仿宋_GB2312" w:eastAsia="仿宋_GB2312" w:hAnsi="仿宋" w:cstheme="minorBidi" w:hint="eastAsia"/>
          <w:sz w:val="30"/>
          <w:szCs w:val="30"/>
        </w:rPr>
        <w:t>的公共建筑单位面积</w:t>
      </w:r>
      <w:r w:rsidR="00FD6427">
        <w:rPr>
          <w:rFonts w:ascii="仿宋_GB2312" w:eastAsia="仿宋_GB2312" w:hAnsi="仿宋" w:cstheme="minorBidi" w:hint="eastAsia"/>
          <w:sz w:val="30"/>
          <w:szCs w:val="30"/>
        </w:rPr>
        <w:t>年</w:t>
      </w:r>
      <w:r w:rsidR="008D7609">
        <w:rPr>
          <w:rFonts w:ascii="仿宋_GB2312" w:eastAsia="仿宋_GB2312" w:hAnsi="仿宋" w:cstheme="minorBidi" w:hint="eastAsia"/>
          <w:sz w:val="30"/>
          <w:szCs w:val="30"/>
        </w:rPr>
        <w:t>平均</w:t>
      </w:r>
      <w:r w:rsidR="005C06B9">
        <w:rPr>
          <w:rFonts w:ascii="仿宋_GB2312" w:eastAsia="仿宋_GB2312" w:hAnsi="仿宋" w:cstheme="minorBidi" w:hint="eastAsia"/>
          <w:sz w:val="30"/>
          <w:szCs w:val="30"/>
        </w:rPr>
        <w:t>用电量</w:t>
      </w:r>
      <w:r w:rsidR="00C910F8">
        <w:rPr>
          <w:rFonts w:ascii="仿宋_GB2312" w:eastAsia="仿宋_GB2312" w:hAnsi="仿宋" w:cstheme="minorBidi" w:hint="eastAsia"/>
          <w:sz w:val="30"/>
          <w:szCs w:val="30"/>
        </w:rPr>
        <w:t>比</w:t>
      </w:r>
      <w:r w:rsidR="00583286">
        <w:rPr>
          <w:rFonts w:ascii="仿宋_GB2312" w:eastAsia="仿宋_GB2312" w:hAnsi="仿宋" w:cstheme="minorBidi" w:hint="eastAsia"/>
          <w:sz w:val="30"/>
          <w:szCs w:val="30"/>
        </w:rPr>
        <w:t>非中心城区</w:t>
      </w:r>
      <w:r w:rsidR="00C910F8">
        <w:rPr>
          <w:rFonts w:ascii="仿宋_GB2312" w:eastAsia="仿宋_GB2312" w:hAnsi="仿宋" w:cstheme="minorBidi" w:hint="eastAsia"/>
          <w:sz w:val="30"/>
          <w:szCs w:val="30"/>
        </w:rPr>
        <w:t>高出12.5</w:t>
      </w:r>
      <w:r w:rsidR="005C2C9B">
        <w:rPr>
          <w:rFonts w:ascii="仿宋_GB2312" w:eastAsia="仿宋_GB2312" w:hAnsi="仿宋" w:cstheme="minorBidi" w:hint="eastAsia"/>
          <w:sz w:val="30"/>
          <w:szCs w:val="30"/>
        </w:rPr>
        <w:t>％</w:t>
      </w:r>
      <w:r w:rsidR="00C910F8">
        <w:rPr>
          <w:rFonts w:ascii="仿宋_GB2312" w:eastAsia="仿宋_GB2312" w:hAnsi="仿宋" w:cstheme="minorBidi" w:hint="eastAsia"/>
          <w:sz w:val="30"/>
          <w:szCs w:val="30"/>
        </w:rPr>
        <w:t>，如</w:t>
      </w:r>
      <w:r w:rsidR="00C910F8" w:rsidRPr="00676B65">
        <w:rPr>
          <w:rFonts w:ascii="仿宋_GB2312" w:eastAsia="仿宋_GB2312" w:hAnsi="仿宋" w:cstheme="minorBidi" w:hint="eastAsia"/>
          <w:sz w:val="30"/>
          <w:szCs w:val="30"/>
        </w:rPr>
        <w:t>图</w:t>
      </w:r>
      <w:r w:rsidR="00C910F8" w:rsidRPr="00676B65">
        <w:rPr>
          <w:rFonts w:ascii="仿宋_GB2312" w:eastAsia="仿宋_GB2312" w:hAnsi="仿宋" w:cstheme="minorBidi"/>
          <w:sz w:val="30"/>
          <w:szCs w:val="30"/>
        </w:rPr>
        <w:t>1</w:t>
      </w:r>
      <w:r w:rsidR="00676B65">
        <w:rPr>
          <w:rFonts w:ascii="仿宋_GB2312" w:eastAsia="仿宋_GB2312" w:hAnsi="仿宋" w:cstheme="minorBidi"/>
          <w:sz w:val="30"/>
          <w:szCs w:val="30"/>
        </w:rPr>
        <w:t>3</w:t>
      </w:r>
      <w:r w:rsidR="00C910F8">
        <w:rPr>
          <w:rFonts w:ascii="仿宋_GB2312" w:eastAsia="仿宋_GB2312" w:hAnsi="仿宋" w:cstheme="minorBidi" w:hint="eastAsia"/>
          <w:sz w:val="30"/>
          <w:szCs w:val="30"/>
        </w:rPr>
        <w:t>所示。</w:t>
      </w:r>
      <w:r w:rsidR="00B10B9B">
        <w:rPr>
          <w:rFonts w:ascii="仿宋_GB2312" w:eastAsia="仿宋_GB2312" w:hAnsi="仿宋" w:cstheme="minorBidi" w:hint="eastAsia"/>
          <w:sz w:val="30"/>
          <w:szCs w:val="30"/>
        </w:rPr>
        <w:t>根据上海市</w:t>
      </w:r>
      <w:r w:rsidR="00E12DCA">
        <w:rPr>
          <w:rFonts w:ascii="仿宋_GB2312" w:eastAsia="仿宋_GB2312" w:hAnsi="仿宋" w:cstheme="minorBidi" w:hint="eastAsia"/>
          <w:sz w:val="30"/>
          <w:szCs w:val="30"/>
        </w:rPr>
        <w:t>统计网</w:t>
      </w:r>
      <w:r w:rsidR="00B10B9B">
        <w:rPr>
          <w:rFonts w:ascii="仿宋_GB2312" w:eastAsia="仿宋_GB2312" w:hAnsi="仿宋" w:cstheme="minorBidi" w:hint="eastAsia"/>
          <w:sz w:val="30"/>
          <w:szCs w:val="30"/>
        </w:rPr>
        <w:t>公布的本市人口密度态势分布分析，</w:t>
      </w:r>
      <w:r w:rsidR="009C0EF9">
        <w:rPr>
          <w:rFonts w:ascii="仿宋_GB2312" w:eastAsia="仿宋_GB2312" w:hAnsi="仿宋" w:cstheme="minorBidi" w:hint="eastAsia"/>
          <w:sz w:val="30"/>
          <w:szCs w:val="30"/>
        </w:rPr>
        <w:t>中心城区人口平均密度远高于非中心城区人口平均密度</w:t>
      </w:r>
      <w:r w:rsidR="00675822">
        <w:rPr>
          <w:rFonts w:ascii="仿宋_GB2312" w:eastAsia="仿宋_GB2312" w:hAnsi="仿宋" w:cstheme="minorBidi" w:hint="eastAsia"/>
          <w:sz w:val="30"/>
          <w:szCs w:val="30"/>
        </w:rPr>
        <w:t>，</w:t>
      </w:r>
      <w:r w:rsidR="009C0EF9">
        <w:rPr>
          <w:rFonts w:ascii="仿宋_GB2312" w:eastAsia="仿宋_GB2312" w:hAnsi="仿宋" w:cstheme="minorBidi" w:hint="eastAsia"/>
          <w:sz w:val="30"/>
          <w:szCs w:val="30"/>
        </w:rPr>
        <w:t>是用电量高出的主要因素之一。</w:t>
      </w:r>
    </w:p>
    <w:p w:rsidR="00A36B13" w:rsidRDefault="00675822" w:rsidP="00447492">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通过</w:t>
      </w:r>
      <w:r w:rsidR="00E45EA4">
        <w:rPr>
          <w:rFonts w:ascii="仿宋_GB2312" w:eastAsia="仿宋_GB2312" w:hAnsi="仿宋" w:cstheme="minorBidi" w:hint="eastAsia"/>
          <w:sz w:val="30"/>
          <w:szCs w:val="30"/>
        </w:rPr>
        <w:t>分析</w:t>
      </w:r>
      <w:r w:rsidR="00E45EA4">
        <w:rPr>
          <w:rFonts w:ascii="仿宋_GB2312" w:eastAsia="仿宋_GB2312" w:hAnsi="仿宋" w:cstheme="minorBidi"/>
          <w:sz w:val="30"/>
          <w:szCs w:val="30"/>
        </w:rPr>
        <w:t>公共建筑单位面积年平均用电量</w:t>
      </w:r>
      <w:r w:rsidR="00E45EA4">
        <w:rPr>
          <w:rFonts w:ascii="仿宋_GB2312" w:eastAsia="仿宋_GB2312" w:hAnsi="仿宋" w:cstheme="minorBidi" w:hint="eastAsia"/>
          <w:sz w:val="30"/>
          <w:szCs w:val="30"/>
        </w:rPr>
        <w:t>的</w:t>
      </w:r>
      <w:r w:rsidR="00E45EA4">
        <w:rPr>
          <w:rFonts w:ascii="仿宋_GB2312" w:eastAsia="仿宋_GB2312" w:hAnsi="仿宋" w:cstheme="minorBidi"/>
          <w:sz w:val="30"/>
          <w:szCs w:val="30"/>
        </w:rPr>
        <w:t>变化可以发现，</w:t>
      </w:r>
      <w:r w:rsidR="00E45EA4">
        <w:rPr>
          <w:rFonts w:ascii="仿宋_GB2312" w:eastAsia="仿宋_GB2312" w:hAnsi="仿宋" w:cstheme="minorBidi" w:hint="eastAsia"/>
          <w:sz w:val="30"/>
          <w:szCs w:val="30"/>
        </w:rPr>
        <w:t>2016年</w:t>
      </w:r>
      <w:r w:rsidR="006771A1">
        <w:rPr>
          <w:rFonts w:ascii="仿宋_GB2312" w:eastAsia="仿宋_GB2312" w:hAnsi="仿宋" w:cstheme="minorBidi" w:hint="eastAsia"/>
          <w:sz w:val="30"/>
          <w:szCs w:val="30"/>
        </w:rPr>
        <w:t>中心城区</w:t>
      </w:r>
      <w:r w:rsidR="00A746B1">
        <w:rPr>
          <w:rFonts w:ascii="仿宋_GB2312" w:eastAsia="仿宋_GB2312" w:hAnsi="仿宋" w:cstheme="minorBidi" w:hint="eastAsia"/>
          <w:sz w:val="30"/>
          <w:szCs w:val="30"/>
        </w:rPr>
        <w:t>公共</w:t>
      </w:r>
      <w:r w:rsidR="006771A1">
        <w:rPr>
          <w:rFonts w:ascii="仿宋_GB2312" w:eastAsia="仿宋_GB2312" w:hAnsi="仿宋" w:cstheme="minorBidi" w:hint="eastAsia"/>
          <w:sz w:val="30"/>
          <w:szCs w:val="30"/>
        </w:rPr>
        <w:t>建筑单位面积年平均用电量</w:t>
      </w:r>
      <w:r w:rsidR="003F7AA0">
        <w:rPr>
          <w:rFonts w:ascii="仿宋_GB2312" w:eastAsia="仿宋_GB2312" w:hAnsi="仿宋" w:cstheme="minorBidi" w:hint="eastAsia"/>
          <w:sz w:val="30"/>
          <w:szCs w:val="30"/>
        </w:rPr>
        <w:t>较2015年</w:t>
      </w:r>
      <w:r w:rsidR="005C06B9">
        <w:rPr>
          <w:rFonts w:ascii="仿宋_GB2312" w:eastAsia="仿宋_GB2312" w:hAnsi="仿宋" w:cstheme="minorBidi" w:hint="eastAsia"/>
          <w:sz w:val="30"/>
          <w:szCs w:val="30"/>
        </w:rPr>
        <w:t>增长7</w:t>
      </w:r>
      <w:r w:rsidR="005C2C9B">
        <w:rPr>
          <w:rFonts w:ascii="仿宋_GB2312" w:eastAsia="仿宋_GB2312" w:hAnsi="仿宋" w:cstheme="minorBidi" w:hint="eastAsia"/>
          <w:sz w:val="30"/>
          <w:szCs w:val="30"/>
        </w:rPr>
        <w:t>％</w:t>
      </w:r>
      <w:r w:rsidR="005C06B9">
        <w:rPr>
          <w:rFonts w:ascii="仿宋_GB2312" w:eastAsia="仿宋_GB2312" w:hAnsi="仿宋" w:cstheme="minorBidi" w:hint="eastAsia"/>
          <w:sz w:val="30"/>
          <w:szCs w:val="30"/>
        </w:rPr>
        <w:t>，</w:t>
      </w:r>
      <w:r w:rsidR="00E45EA4">
        <w:rPr>
          <w:rFonts w:ascii="仿宋_GB2312" w:eastAsia="仿宋_GB2312" w:hAnsi="仿宋" w:cstheme="minorBidi" w:hint="eastAsia"/>
          <w:sz w:val="30"/>
          <w:szCs w:val="30"/>
        </w:rPr>
        <w:t>而</w:t>
      </w:r>
      <w:r w:rsidR="005C06B9">
        <w:rPr>
          <w:rFonts w:ascii="仿宋_GB2312" w:eastAsia="仿宋_GB2312" w:hAnsi="仿宋" w:cstheme="minorBidi" w:hint="eastAsia"/>
          <w:sz w:val="30"/>
          <w:szCs w:val="30"/>
        </w:rPr>
        <w:t>非中心城区</w:t>
      </w:r>
      <w:r w:rsidR="00A746B1">
        <w:rPr>
          <w:rFonts w:ascii="仿宋_GB2312" w:eastAsia="仿宋_GB2312" w:hAnsi="仿宋" w:cstheme="minorBidi" w:hint="eastAsia"/>
          <w:sz w:val="30"/>
          <w:szCs w:val="30"/>
        </w:rPr>
        <w:t>公共建筑单位面积年平均用电量2016年较2015年</w:t>
      </w:r>
      <w:r w:rsidR="005C06B9">
        <w:rPr>
          <w:rFonts w:ascii="仿宋_GB2312" w:eastAsia="仿宋_GB2312" w:hAnsi="仿宋" w:cstheme="minorBidi" w:hint="eastAsia"/>
          <w:sz w:val="30"/>
          <w:szCs w:val="30"/>
        </w:rPr>
        <w:t>增长13</w:t>
      </w:r>
      <w:r w:rsidR="005C2C9B">
        <w:rPr>
          <w:rFonts w:ascii="仿宋_GB2312" w:eastAsia="仿宋_GB2312" w:hAnsi="仿宋" w:cstheme="minorBidi" w:hint="eastAsia"/>
          <w:sz w:val="30"/>
          <w:szCs w:val="30"/>
        </w:rPr>
        <w:t>％</w:t>
      </w:r>
      <w:r w:rsidR="005C06B9">
        <w:rPr>
          <w:rFonts w:ascii="仿宋_GB2312" w:eastAsia="仿宋_GB2312" w:hAnsi="仿宋" w:cstheme="minorBidi" w:hint="eastAsia"/>
          <w:sz w:val="30"/>
          <w:szCs w:val="30"/>
        </w:rPr>
        <w:t>，</w:t>
      </w:r>
      <w:r w:rsidR="00C83B95">
        <w:rPr>
          <w:rFonts w:ascii="仿宋_GB2312" w:eastAsia="仿宋_GB2312" w:hAnsi="仿宋" w:cstheme="minorBidi" w:hint="eastAsia"/>
          <w:sz w:val="30"/>
          <w:szCs w:val="30"/>
        </w:rPr>
        <w:t>增幅高于中心城区</w:t>
      </w:r>
      <w:r w:rsidR="00EC7903">
        <w:rPr>
          <w:rFonts w:ascii="仿宋_GB2312" w:eastAsia="仿宋_GB2312" w:hAnsi="仿宋" w:cstheme="minorBidi" w:hint="eastAsia"/>
          <w:sz w:val="30"/>
          <w:szCs w:val="30"/>
        </w:rPr>
        <w:t>。</w:t>
      </w:r>
      <w:r w:rsidR="00E12DCA">
        <w:rPr>
          <w:rFonts w:ascii="仿宋_GB2312" w:eastAsia="仿宋_GB2312" w:hAnsi="仿宋" w:cstheme="minorBidi" w:hint="eastAsia"/>
          <w:sz w:val="30"/>
          <w:szCs w:val="30"/>
        </w:rPr>
        <w:t>同样，根据上海市统计网公布的本市人口密度地区变化分析，中心城区与非中心城区人口密度峰谷落差持续缩小，这种人口</w:t>
      </w:r>
      <w:r>
        <w:rPr>
          <w:rFonts w:ascii="仿宋_GB2312" w:eastAsia="仿宋_GB2312" w:hAnsi="仿宋" w:cstheme="minorBidi" w:hint="eastAsia"/>
          <w:sz w:val="30"/>
          <w:szCs w:val="30"/>
        </w:rPr>
        <w:t>密度</w:t>
      </w:r>
      <w:r w:rsidR="00E12DCA">
        <w:rPr>
          <w:rFonts w:ascii="仿宋_GB2312" w:eastAsia="仿宋_GB2312" w:hAnsi="仿宋" w:cstheme="minorBidi" w:hint="eastAsia"/>
          <w:sz w:val="30"/>
          <w:szCs w:val="30"/>
        </w:rPr>
        <w:t>呈现向非中心城</w:t>
      </w:r>
      <w:r w:rsidR="00E12DCA">
        <w:rPr>
          <w:rFonts w:ascii="仿宋_GB2312" w:eastAsia="仿宋_GB2312" w:hAnsi="仿宋" w:cstheme="minorBidi" w:hint="eastAsia"/>
          <w:sz w:val="30"/>
          <w:szCs w:val="30"/>
        </w:rPr>
        <w:lastRenderedPageBreak/>
        <w:t>区扩散的现状，是</w:t>
      </w:r>
      <w:r w:rsidR="005C06B9">
        <w:rPr>
          <w:rFonts w:ascii="仿宋_GB2312" w:eastAsia="仿宋_GB2312" w:hAnsi="仿宋" w:cstheme="minorBidi" w:hint="eastAsia"/>
          <w:sz w:val="30"/>
          <w:szCs w:val="30"/>
        </w:rPr>
        <w:t>非中心城区用电量</w:t>
      </w:r>
      <w:r w:rsidR="00E12DCA">
        <w:rPr>
          <w:rFonts w:ascii="仿宋_GB2312" w:eastAsia="仿宋_GB2312" w:hAnsi="仿宋" w:cstheme="minorBidi" w:hint="eastAsia"/>
          <w:sz w:val="30"/>
          <w:szCs w:val="30"/>
        </w:rPr>
        <w:t>增幅高于中心城区的重要原因之一</w:t>
      </w:r>
      <w:r w:rsidR="005C06B9">
        <w:rPr>
          <w:rFonts w:ascii="仿宋_GB2312" w:eastAsia="仿宋_GB2312" w:hAnsi="仿宋" w:cstheme="minorBidi" w:hint="eastAsia"/>
          <w:sz w:val="30"/>
          <w:szCs w:val="30"/>
        </w:rPr>
        <w:t>。</w:t>
      </w:r>
    </w:p>
    <w:p w:rsidR="00676B65" w:rsidRDefault="00EE464C" w:rsidP="00676B65">
      <w:pPr>
        <w:jc w:val="center"/>
        <w:rPr>
          <w:rFonts w:ascii="仿宋_GB2312" w:eastAsia="仿宋_GB2312" w:hAnsi="仿宋" w:cstheme="minorBidi"/>
          <w:sz w:val="30"/>
          <w:szCs w:val="30"/>
        </w:rPr>
      </w:pPr>
      <w:r>
        <w:rPr>
          <w:noProof/>
        </w:rPr>
        <w:drawing>
          <wp:inline distT="0" distB="0" distL="0" distR="0">
            <wp:extent cx="5156200" cy="2743200"/>
            <wp:effectExtent l="0" t="0" r="6350" b="0"/>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E1795" w:rsidRDefault="00DE1795" w:rsidP="00DE1795">
      <w:pPr>
        <w:jc w:val="center"/>
        <w:rPr>
          <w:rFonts w:ascii="Times New Roman" w:eastAsia="仿宋" w:hAnsi="Times New Roman"/>
          <w:color w:val="000000" w:themeColor="text1"/>
          <w:sz w:val="24"/>
          <w:szCs w:val="24"/>
        </w:rPr>
      </w:pPr>
      <w:r w:rsidRPr="001C568F">
        <w:rPr>
          <w:rFonts w:ascii="Times New Roman" w:eastAsia="仿宋" w:hAnsi="Times New Roman" w:hint="eastAsia"/>
          <w:color w:val="000000" w:themeColor="text1"/>
          <w:sz w:val="24"/>
          <w:szCs w:val="24"/>
        </w:rPr>
        <w:t>图</w:t>
      </w:r>
      <w:r w:rsidR="00C71D4D">
        <w:rPr>
          <w:rFonts w:ascii="Times New Roman" w:eastAsia="仿宋" w:hAnsi="Times New Roman" w:hint="eastAsia"/>
          <w:color w:val="000000" w:themeColor="text1"/>
          <w:sz w:val="24"/>
          <w:szCs w:val="24"/>
        </w:rPr>
        <w:t>13</w:t>
      </w:r>
      <w:r w:rsidR="008D7609">
        <w:rPr>
          <w:rFonts w:ascii="Times New Roman" w:eastAsia="仿宋" w:hAnsi="Times New Roman" w:hint="eastAsia"/>
          <w:color w:val="000000" w:themeColor="text1"/>
          <w:sz w:val="24"/>
          <w:szCs w:val="24"/>
        </w:rPr>
        <w:t xml:space="preserve"> 2015</w:t>
      </w:r>
      <w:r w:rsidR="008D7609">
        <w:rPr>
          <w:rFonts w:ascii="仿宋" w:eastAsia="仿宋" w:hAnsi="仿宋" w:hint="eastAsia"/>
          <w:color w:val="000000" w:themeColor="text1"/>
          <w:sz w:val="24"/>
          <w:szCs w:val="24"/>
        </w:rPr>
        <w:t>～</w:t>
      </w:r>
      <w:r w:rsidR="005C06B9">
        <w:rPr>
          <w:rFonts w:ascii="Times New Roman" w:eastAsia="仿宋" w:hAnsi="Times New Roman"/>
          <w:color w:val="000000" w:themeColor="text1"/>
          <w:sz w:val="24"/>
          <w:szCs w:val="24"/>
        </w:rPr>
        <w:t>2016</w:t>
      </w:r>
      <w:r w:rsidR="00AB2DCF">
        <w:rPr>
          <w:rFonts w:ascii="Times New Roman" w:eastAsia="仿宋" w:hAnsi="Times New Roman" w:hint="eastAsia"/>
          <w:color w:val="000000" w:themeColor="text1"/>
          <w:sz w:val="24"/>
          <w:szCs w:val="24"/>
        </w:rPr>
        <w:t>年</w:t>
      </w:r>
      <w:r w:rsidR="00583286">
        <w:rPr>
          <w:rFonts w:ascii="Times New Roman" w:eastAsia="仿宋" w:hAnsi="Times New Roman" w:hint="eastAsia"/>
          <w:color w:val="000000" w:themeColor="text1"/>
          <w:sz w:val="24"/>
          <w:szCs w:val="24"/>
        </w:rPr>
        <w:t>中心城区</w:t>
      </w:r>
      <w:r w:rsidR="00DB25A6" w:rsidRPr="001C568F">
        <w:rPr>
          <w:rFonts w:ascii="Times New Roman" w:eastAsia="仿宋" w:hAnsi="Times New Roman" w:hint="eastAsia"/>
          <w:color w:val="000000" w:themeColor="text1"/>
          <w:sz w:val="24"/>
          <w:szCs w:val="24"/>
        </w:rPr>
        <w:t>与</w:t>
      </w:r>
      <w:r w:rsidR="00583286">
        <w:rPr>
          <w:rFonts w:ascii="Times New Roman" w:eastAsia="仿宋" w:hAnsi="Times New Roman" w:hint="eastAsia"/>
          <w:color w:val="000000" w:themeColor="text1"/>
          <w:sz w:val="24"/>
          <w:szCs w:val="24"/>
        </w:rPr>
        <w:t>非中心城区</w:t>
      </w:r>
      <w:r w:rsidR="00DB25A6" w:rsidRPr="001C568F">
        <w:rPr>
          <w:rFonts w:ascii="Times New Roman" w:eastAsia="仿宋" w:hAnsi="Times New Roman" w:hint="eastAsia"/>
          <w:color w:val="000000" w:themeColor="text1"/>
          <w:sz w:val="24"/>
          <w:szCs w:val="24"/>
        </w:rPr>
        <w:t>建筑用电</w:t>
      </w:r>
      <w:r w:rsidR="005E66F3">
        <w:rPr>
          <w:rFonts w:ascii="Times New Roman" w:eastAsia="仿宋" w:hAnsi="Times New Roman" w:hint="eastAsia"/>
          <w:color w:val="000000" w:themeColor="text1"/>
          <w:sz w:val="24"/>
          <w:szCs w:val="24"/>
        </w:rPr>
        <w:t>量情况</w:t>
      </w:r>
    </w:p>
    <w:p w:rsidR="00654A42" w:rsidRPr="001C568F" w:rsidRDefault="00654A42" w:rsidP="00DE1795">
      <w:pPr>
        <w:jc w:val="center"/>
        <w:rPr>
          <w:rFonts w:ascii="Times New Roman" w:eastAsia="仿宋" w:hAnsi="Times New Roman"/>
          <w:color w:val="000000" w:themeColor="text1"/>
          <w:sz w:val="24"/>
          <w:szCs w:val="24"/>
        </w:rPr>
      </w:pPr>
    </w:p>
    <w:p w:rsidR="00A0168E" w:rsidRDefault="00A0168E">
      <w:pPr>
        <w:widowControl/>
        <w:jc w:val="left"/>
        <w:rPr>
          <w:rFonts w:ascii="仿宋_GB2312" w:eastAsia="仿宋_GB2312" w:hAnsi="仿宋" w:cstheme="minorBidi"/>
          <w:sz w:val="30"/>
          <w:szCs w:val="30"/>
        </w:rPr>
        <w:sectPr w:rsidR="00A0168E" w:rsidSect="00F016E5">
          <w:footerReference w:type="default" r:id="rId32"/>
          <w:pgSz w:w="11906" w:h="16838"/>
          <w:pgMar w:top="1440" w:right="1797" w:bottom="1440" w:left="1797" w:header="851" w:footer="992" w:gutter="0"/>
          <w:pgNumType w:start="11"/>
          <w:cols w:space="425"/>
          <w:docGrid w:type="linesAndChars" w:linePitch="312"/>
        </w:sectPr>
      </w:pPr>
    </w:p>
    <w:p w:rsidR="00A36B13" w:rsidRDefault="00A36B13">
      <w:pPr>
        <w:widowControl/>
        <w:jc w:val="left"/>
        <w:rPr>
          <w:rFonts w:ascii="仿宋_GB2312" w:eastAsia="仿宋_GB2312" w:hAnsi="仿宋" w:cstheme="minorBidi"/>
          <w:sz w:val="30"/>
          <w:szCs w:val="30"/>
        </w:rPr>
      </w:pPr>
    </w:p>
    <w:p w:rsidR="00A36B13" w:rsidRDefault="00A36B13" w:rsidP="00277F6F">
      <w:pPr>
        <w:rPr>
          <w:rFonts w:ascii="仿宋_GB2312" w:eastAsia="仿宋_GB2312" w:hAnsi="仿宋" w:cstheme="minorBidi"/>
          <w:sz w:val="30"/>
          <w:szCs w:val="30"/>
        </w:rPr>
      </w:pPr>
    </w:p>
    <w:p w:rsidR="00A36B13" w:rsidRDefault="00A36B13" w:rsidP="00277F6F">
      <w:pPr>
        <w:rPr>
          <w:rFonts w:ascii="仿宋_GB2312" w:eastAsia="仿宋_GB2312" w:hAnsi="仿宋" w:cstheme="minorBidi"/>
          <w:sz w:val="30"/>
          <w:szCs w:val="30"/>
        </w:rPr>
      </w:pPr>
    </w:p>
    <w:p w:rsidR="00A36B13" w:rsidRDefault="00A36B13" w:rsidP="00277F6F">
      <w:pPr>
        <w:rPr>
          <w:rFonts w:ascii="仿宋_GB2312" w:eastAsia="仿宋_GB2312" w:hAnsi="仿宋" w:cstheme="minorBidi"/>
          <w:sz w:val="30"/>
          <w:szCs w:val="30"/>
        </w:rPr>
      </w:pPr>
    </w:p>
    <w:p w:rsidR="00A36B13" w:rsidRDefault="00A36B13" w:rsidP="00277F6F">
      <w:pPr>
        <w:rPr>
          <w:rFonts w:ascii="仿宋_GB2312" w:eastAsia="仿宋_GB2312" w:hAnsi="仿宋" w:cstheme="minorBidi"/>
          <w:sz w:val="30"/>
          <w:szCs w:val="30"/>
        </w:rPr>
      </w:pPr>
    </w:p>
    <w:p w:rsidR="00A36B13" w:rsidRDefault="00A36B13" w:rsidP="00277F6F">
      <w:pPr>
        <w:rPr>
          <w:rFonts w:ascii="仿宋_GB2312" w:eastAsia="仿宋_GB2312" w:hAnsi="仿宋" w:cstheme="minorBidi"/>
          <w:sz w:val="30"/>
          <w:szCs w:val="30"/>
        </w:rPr>
      </w:pPr>
    </w:p>
    <w:p w:rsidR="00A36B13" w:rsidRDefault="00A36B13" w:rsidP="00277F6F">
      <w:pPr>
        <w:rPr>
          <w:rFonts w:ascii="仿宋_GB2312" w:eastAsia="仿宋_GB2312" w:hAnsi="仿宋" w:cstheme="minorBidi"/>
          <w:sz w:val="30"/>
          <w:szCs w:val="30"/>
        </w:rPr>
      </w:pPr>
    </w:p>
    <w:p w:rsidR="00553F75" w:rsidRDefault="00553F75" w:rsidP="00277F6F">
      <w:pPr>
        <w:rPr>
          <w:rFonts w:ascii="仿宋_GB2312" w:eastAsia="仿宋_GB2312" w:hAnsi="仿宋" w:cstheme="minorBidi"/>
          <w:sz w:val="30"/>
          <w:szCs w:val="30"/>
        </w:rPr>
      </w:pPr>
    </w:p>
    <w:p w:rsidR="000E2810" w:rsidRDefault="005E66F3" w:rsidP="000E2810">
      <w:pPr>
        <w:pStyle w:val="1"/>
        <w:jc w:val="center"/>
        <w:rPr>
          <w:rFonts w:ascii="黑体" w:eastAsia="黑体" w:hAnsi="黑体" w:cstheme="minorBidi"/>
          <w:bCs w:val="0"/>
          <w:kern w:val="2"/>
        </w:rPr>
      </w:pPr>
      <w:bookmarkStart w:id="17" w:name="_Toc479753009"/>
      <w:r>
        <w:rPr>
          <w:rFonts w:ascii="黑体" w:eastAsia="黑体" w:hAnsi="黑体" w:cstheme="minorBidi" w:hint="eastAsia"/>
          <w:bCs w:val="0"/>
          <w:kern w:val="2"/>
        </w:rPr>
        <w:t>三、</w:t>
      </w:r>
      <w:r w:rsidR="00A36B13" w:rsidRPr="00447492">
        <w:rPr>
          <w:rFonts w:ascii="黑体" w:eastAsia="黑体" w:hAnsi="黑体" w:cstheme="minorBidi" w:hint="eastAsia"/>
          <w:bCs w:val="0"/>
          <w:kern w:val="2"/>
        </w:rPr>
        <w:t>行业篇</w:t>
      </w:r>
      <w:bookmarkEnd w:id="17"/>
    </w:p>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 w:rsidR="00B33332" w:rsidRDefault="00B33332" w:rsidP="00B33332">
      <w:pPr>
        <w:sectPr w:rsidR="00B33332" w:rsidSect="00F016E5">
          <w:footerReference w:type="default" r:id="rId33"/>
          <w:pgSz w:w="11906" w:h="16838"/>
          <w:pgMar w:top="1440" w:right="1797" w:bottom="1440" w:left="1797" w:header="851" w:footer="992" w:gutter="0"/>
          <w:pgNumType w:start="18"/>
          <w:cols w:space="425"/>
          <w:docGrid w:type="linesAndChars" w:linePitch="312"/>
        </w:sectPr>
      </w:pPr>
    </w:p>
    <w:p w:rsidR="00A36B13" w:rsidRPr="00A36B13" w:rsidRDefault="00DA4364" w:rsidP="000E2810">
      <w:pPr>
        <w:pStyle w:val="2"/>
        <w:spacing w:before="0" w:after="0" w:line="360" w:lineRule="auto"/>
        <w:rPr>
          <w:rFonts w:ascii="黑体" w:eastAsia="黑体" w:hAnsi="黑体" w:cs="Times New Roman"/>
          <w:bCs w:val="0"/>
          <w:color w:val="000000" w:themeColor="text1"/>
        </w:rPr>
      </w:pPr>
      <w:bookmarkStart w:id="18" w:name="_Toc479753010"/>
      <w:r>
        <w:rPr>
          <w:rFonts w:ascii="黑体" w:eastAsia="黑体" w:hAnsi="黑体" w:cs="Times New Roman" w:hint="eastAsia"/>
          <w:bCs w:val="0"/>
          <w:color w:val="000000" w:themeColor="text1"/>
        </w:rPr>
        <w:lastRenderedPageBreak/>
        <w:t>（一）</w:t>
      </w:r>
      <w:r w:rsidR="00A36B13" w:rsidRPr="00A36B13">
        <w:rPr>
          <w:rFonts w:ascii="黑体" w:eastAsia="黑体" w:hAnsi="黑体" w:cs="Times New Roman" w:hint="eastAsia"/>
          <w:bCs w:val="0"/>
          <w:color w:val="000000" w:themeColor="text1"/>
        </w:rPr>
        <w:t>分类建筑用电分析</w:t>
      </w:r>
      <w:bookmarkEnd w:id="18"/>
    </w:p>
    <w:p w:rsidR="00A36B13" w:rsidRPr="00A36B13" w:rsidRDefault="00A36B13" w:rsidP="000E2810">
      <w:pPr>
        <w:pStyle w:val="3"/>
        <w:spacing w:before="0" w:after="0" w:line="360" w:lineRule="auto"/>
        <w:rPr>
          <w:rFonts w:ascii="黑体" w:eastAsia="黑体" w:hAnsi="黑体" w:cstheme="minorBidi"/>
          <w:bCs w:val="0"/>
          <w:sz w:val="30"/>
          <w:szCs w:val="30"/>
        </w:rPr>
      </w:pPr>
      <w:bookmarkStart w:id="19" w:name="_Toc479753011"/>
      <w:r w:rsidRPr="00A36B13">
        <w:rPr>
          <w:rFonts w:ascii="黑体" w:eastAsia="黑体" w:hAnsi="黑体" w:cstheme="minorBidi" w:hint="eastAsia"/>
          <w:bCs w:val="0"/>
          <w:sz w:val="30"/>
          <w:szCs w:val="30"/>
        </w:rPr>
        <w:t>1、年度各类型建筑用电强度</w:t>
      </w:r>
      <w:bookmarkEnd w:id="19"/>
    </w:p>
    <w:p w:rsidR="007033D7" w:rsidRDefault="007033D7" w:rsidP="00DB66EC">
      <w:pPr>
        <w:spacing w:afterLines="50"/>
        <w:ind w:firstLineChars="200" w:firstLine="600"/>
        <w:rPr>
          <w:rFonts w:ascii="仿宋_GB2312" w:eastAsia="仿宋_GB2312" w:hAnsi="仿宋" w:cstheme="minorBidi"/>
          <w:sz w:val="30"/>
          <w:szCs w:val="30"/>
        </w:rPr>
      </w:pPr>
      <w:r w:rsidRPr="007033D7">
        <w:rPr>
          <w:rFonts w:ascii="仿宋_GB2312" w:eastAsia="仿宋_GB2312" w:hAnsi="仿宋" w:cstheme="minorBidi" w:hint="eastAsia"/>
          <w:sz w:val="30"/>
          <w:szCs w:val="30"/>
        </w:rPr>
        <w:t>2016年，接入能耗监测平台的各类公共建筑逐月用电强度如表3所示，本报告主要统计国家机关办公建筑、办公建筑、旅游饭店建筑、商场建筑、综合建筑和卫生建筑的用电强度，教育建筑、文化建筑、体育建筑、其他建筑这四类建筑因上传数据样本有限，用电量数据仅供参考。</w:t>
      </w:r>
    </w:p>
    <w:p w:rsidR="007033D7" w:rsidRPr="009C7B83" w:rsidRDefault="007033D7" w:rsidP="007033D7">
      <w:pPr>
        <w:jc w:val="center"/>
        <w:rPr>
          <w:rFonts w:ascii="Times New Roman" w:eastAsia="仿宋" w:hAnsi="Times New Roman"/>
          <w:color w:val="000000" w:themeColor="text1"/>
          <w:sz w:val="24"/>
          <w:szCs w:val="24"/>
        </w:rPr>
      </w:pPr>
      <w:r w:rsidRPr="009C7B83">
        <w:rPr>
          <w:rFonts w:ascii="Times New Roman" w:eastAsia="仿宋" w:hAnsi="Times New Roman" w:hint="eastAsia"/>
          <w:color w:val="000000" w:themeColor="text1"/>
          <w:sz w:val="24"/>
          <w:szCs w:val="24"/>
        </w:rPr>
        <w:t>表</w:t>
      </w:r>
      <w:r w:rsidRPr="009C7B83">
        <w:rPr>
          <w:rFonts w:ascii="Times New Roman" w:eastAsia="仿宋" w:hAnsi="Times New Roman" w:hint="eastAsia"/>
          <w:color w:val="000000" w:themeColor="text1"/>
          <w:sz w:val="24"/>
          <w:szCs w:val="24"/>
        </w:rPr>
        <w:t>3  2016</w:t>
      </w:r>
      <w:r>
        <w:rPr>
          <w:rFonts w:ascii="Times New Roman" w:eastAsia="仿宋" w:hAnsi="Times New Roman" w:hint="eastAsia"/>
          <w:color w:val="000000" w:themeColor="text1"/>
          <w:sz w:val="24"/>
          <w:szCs w:val="24"/>
        </w:rPr>
        <w:t>年接入耗监测平台的各类型建筑逐月用电强度</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912"/>
        <w:gridCol w:w="1166"/>
        <w:gridCol w:w="691"/>
        <w:gridCol w:w="929"/>
        <w:gridCol w:w="690"/>
        <w:gridCol w:w="690"/>
        <w:gridCol w:w="690"/>
        <w:gridCol w:w="690"/>
        <w:gridCol w:w="690"/>
        <w:gridCol w:w="690"/>
        <w:gridCol w:w="690"/>
      </w:tblGrid>
      <w:tr w:rsidR="007033D7" w:rsidRPr="00851191" w:rsidTr="00B30D92">
        <w:trPr>
          <w:trHeight w:val="390"/>
        </w:trPr>
        <w:tc>
          <w:tcPr>
            <w:tcW w:w="0" w:type="auto"/>
            <w:shd w:val="clear" w:color="000000" w:fill="BDD6EE"/>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单位</w:t>
            </w:r>
            <w:r w:rsidRPr="00851191">
              <w:rPr>
                <w:rFonts w:ascii="Times New Roman" w:eastAsia="仿宋" w:hAnsi="Times New Roman"/>
                <w:color w:val="000000"/>
                <w:kern w:val="0"/>
                <w:sz w:val="18"/>
                <w:szCs w:val="18"/>
              </w:rPr>
              <w:t>:</w:t>
            </w:r>
            <w:r w:rsidRPr="00851191">
              <w:rPr>
                <w:rFonts w:ascii="Times New Roman" w:eastAsia="等线" w:hAnsi="Times New Roman"/>
                <w:color w:val="000000"/>
                <w:kern w:val="0"/>
                <w:sz w:val="18"/>
                <w:szCs w:val="18"/>
              </w:rPr>
              <w:t xml:space="preserve"> kWh/m</w:t>
            </w:r>
            <w:r w:rsidRPr="00851191">
              <w:rPr>
                <w:rFonts w:ascii="Times New Roman" w:eastAsia="等线" w:hAnsi="Times New Roman"/>
                <w:color w:val="000000"/>
                <w:kern w:val="0"/>
                <w:sz w:val="18"/>
                <w:szCs w:val="18"/>
                <w:vertAlign w:val="superscript"/>
              </w:rPr>
              <w:t>2</w:t>
            </w:r>
          </w:p>
        </w:tc>
        <w:tc>
          <w:tcPr>
            <w:tcW w:w="0" w:type="auto"/>
            <w:shd w:val="clear" w:color="auto" w:fill="BDD6EE" w:themeFill="accent1" w:themeFillTint="66"/>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国家机关办公建筑</w:t>
            </w:r>
          </w:p>
        </w:tc>
        <w:tc>
          <w:tcPr>
            <w:tcW w:w="0" w:type="auto"/>
            <w:shd w:val="clear" w:color="auto" w:fill="BDD6EE" w:themeFill="accent1" w:themeFillTint="66"/>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办公建筑</w:t>
            </w:r>
          </w:p>
        </w:tc>
        <w:tc>
          <w:tcPr>
            <w:tcW w:w="0" w:type="auto"/>
            <w:shd w:val="clear" w:color="auto" w:fill="BDD6EE" w:themeFill="accent1" w:themeFillTint="66"/>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旅游饭店建筑</w:t>
            </w:r>
          </w:p>
        </w:tc>
        <w:tc>
          <w:tcPr>
            <w:tcW w:w="0" w:type="auto"/>
            <w:shd w:val="clear" w:color="auto" w:fill="BDD6EE" w:themeFill="accent1" w:themeFillTint="66"/>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商场建筑</w:t>
            </w:r>
          </w:p>
        </w:tc>
        <w:tc>
          <w:tcPr>
            <w:tcW w:w="0" w:type="auto"/>
            <w:shd w:val="clear" w:color="auto" w:fill="BDD6EE" w:themeFill="accent1" w:themeFillTint="66"/>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综合建筑</w:t>
            </w:r>
          </w:p>
        </w:tc>
        <w:tc>
          <w:tcPr>
            <w:tcW w:w="0" w:type="auto"/>
            <w:shd w:val="clear" w:color="auto" w:fill="BDD6EE" w:themeFill="accent1" w:themeFillTint="66"/>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卫生建筑</w:t>
            </w:r>
          </w:p>
        </w:tc>
        <w:tc>
          <w:tcPr>
            <w:tcW w:w="0" w:type="auto"/>
            <w:shd w:val="clear" w:color="auto" w:fill="auto"/>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教育建筑</w:t>
            </w:r>
          </w:p>
        </w:tc>
        <w:tc>
          <w:tcPr>
            <w:tcW w:w="0" w:type="auto"/>
            <w:shd w:val="clear" w:color="auto" w:fill="auto"/>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文化建筑</w:t>
            </w:r>
          </w:p>
        </w:tc>
        <w:tc>
          <w:tcPr>
            <w:tcW w:w="0" w:type="auto"/>
            <w:shd w:val="clear" w:color="auto" w:fill="auto"/>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体育建筑</w:t>
            </w:r>
          </w:p>
        </w:tc>
        <w:tc>
          <w:tcPr>
            <w:tcW w:w="0" w:type="auto"/>
            <w:shd w:val="clear" w:color="auto" w:fill="auto"/>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其他建筑</w:t>
            </w:r>
          </w:p>
        </w:tc>
      </w:tr>
      <w:tr w:rsidR="007033D7" w:rsidRPr="00851191" w:rsidTr="00B30D92">
        <w:trPr>
          <w:trHeight w:val="390"/>
        </w:trPr>
        <w:tc>
          <w:tcPr>
            <w:tcW w:w="0" w:type="auto"/>
            <w:shd w:val="clear" w:color="000000" w:fill="BDD6EE"/>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sidRPr="00851191">
              <w:rPr>
                <w:rFonts w:ascii="仿宋" w:eastAsia="仿宋" w:hAnsi="仿宋" w:cs="宋体" w:hint="eastAsia"/>
                <w:color w:val="000000"/>
                <w:kern w:val="0"/>
                <w:sz w:val="18"/>
                <w:szCs w:val="18"/>
              </w:rPr>
              <w:t>月</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7.5</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8.2</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w:t>
            </w:r>
            <w:r w:rsidR="00E0603C">
              <w:rPr>
                <w:rFonts w:ascii="Times New Roman" w:eastAsia="等线" w:hAnsi="Times New Roman"/>
                <w:color w:val="000000"/>
                <w:kern w:val="0"/>
                <w:sz w:val="18"/>
                <w:szCs w:val="18"/>
              </w:rPr>
              <w:t>.0</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12.3</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8.6</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12.1</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5.6</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9.3</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5.5</w:t>
            </w:r>
          </w:p>
        </w:tc>
      </w:tr>
      <w:tr w:rsidR="007033D7" w:rsidRPr="00851191" w:rsidTr="00B30D92">
        <w:trPr>
          <w:trHeight w:val="330"/>
        </w:trPr>
        <w:tc>
          <w:tcPr>
            <w:tcW w:w="0" w:type="auto"/>
            <w:shd w:val="clear" w:color="000000" w:fill="BDD6EE"/>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r w:rsidRPr="00851191">
              <w:rPr>
                <w:rFonts w:ascii="仿宋" w:eastAsia="仿宋" w:hAnsi="仿宋" w:cs="宋体" w:hint="eastAsia"/>
                <w:color w:val="000000"/>
                <w:kern w:val="0"/>
                <w:sz w:val="18"/>
                <w:szCs w:val="18"/>
              </w:rPr>
              <w:t>月</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6.9</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w:t>
            </w:r>
            <w:r w:rsidR="00E0603C">
              <w:rPr>
                <w:rFonts w:ascii="Times New Roman" w:eastAsia="等线" w:hAnsi="Times New Roman"/>
                <w:color w:val="000000"/>
                <w:kern w:val="0"/>
                <w:sz w:val="18"/>
                <w:szCs w:val="18"/>
              </w:rPr>
              <w:t>.0</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9.6</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11.6</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w:t>
            </w:r>
            <w:r w:rsidR="00E0603C">
              <w:rPr>
                <w:rFonts w:ascii="Times New Roman" w:eastAsia="等线" w:hAnsi="Times New Roman"/>
                <w:color w:val="000000"/>
                <w:kern w:val="0"/>
                <w:sz w:val="18"/>
                <w:szCs w:val="18"/>
              </w:rPr>
              <w:t>.0</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11.8</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5.5</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9.1</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5.4</w:t>
            </w:r>
          </w:p>
        </w:tc>
      </w:tr>
      <w:tr w:rsidR="007033D7" w:rsidRPr="00851191" w:rsidTr="00B30D92">
        <w:trPr>
          <w:trHeight w:val="330"/>
        </w:trPr>
        <w:tc>
          <w:tcPr>
            <w:tcW w:w="0" w:type="auto"/>
            <w:shd w:val="clear" w:color="000000" w:fill="BDD6EE"/>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3</w:t>
            </w:r>
            <w:r w:rsidRPr="00851191">
              <w:rPr>
                <w:rFonts w:ascii="仿宋" w:eastAsia="仿宋" w:hAnsi="仿宋" w:cs="宋体" w:hint="eastAsia"/>
                <w:color w:val="000000"/>
                <w:kern w:val="0"/>
                <w:sz w:val="18"/>
                <w:szCs w:val="18"/>
              </w:rPr>
              <w:t>月</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6.6</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7.2</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9.9</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11.4</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8.1</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11.4</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5.6</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w:t>
            </w:r>
            <w:r w:rsidR="00E0603C">
              <w:rPr>
                <w:rFonts w:ascii="Times New Roman" w:eastAsia="等线" w:hAnsi="Times New Roman"/>
                <w:color w:val="000000"/>
                <w:kern w:val="0"/>
                <w:sz w:val="18"/>
                <w:szCs w:val="18"/>
              </w:rPr>
              <w:t>.0</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5.4</w:t>
            </w:r>
          </w:p>
        </w:tc>
      </w:tr>
      <w:tr w:rsidR="007033D7" w:rsidRPr="00851191" w:rsidTr="00B30D92">
        <w:trPr>
          <w:trHeight w:val="330"/>
        </w:trPr>
        <w:tc>
          <w:tcPr>
            <w:tcW w:w="0" w:type="auto"/>
            <w:shd w:val="clear" w:color="000000" w:fill="BDD6EE"/>
            <w:noWrap/>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4</w:t>
            </w:r>
            <w:r w:rsidR="007033D7" w:rsidRPr="00851191">
              <w:rPr>
                <w:rFonts w:ascii="仿宋" w:eastAsia="仿宋" w:hAnsi="仿宋" w:cs="宋体" w:hint="eastAsia"/>
                <w:color w:val="000000"/>
                <w:kern w:val="0"/>
                <w:sz w:val="18"/>
                <w:szCs w:val="18"/>
              </w:rPr>
              <w:t>月</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6.2</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6.3</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w:t>
            </w:r>
            <w:r w:rsidR="00E0603C">
              <w:rPr>
                <w:rFonts w:ascii="Times New Roman" w:eastAsia="等线" w:hAnsi="Times New Roman"/>
                <w:color w:val="000000"/>
                <w:kern w:val="0"/>
                <w:sz w:val="18"/>
                <w:szCs w:val="18"/>
              </w:rPr>
              <w:t>.0</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w:t>
            </w:r>
            <w:r w:rsidR="00E0603C">
              <w:rPr>
                <w:rFonts w:ascii="Times New Roman" w:eastAsia="等线" w:hAnsi="Times New Roman"/>
                <w:color w:val="000000"/>
                <w:kern w:val="0"/>
                <w:sz w:val="18"/>
                <w:szCs w:val="18"/>
              </w:rPr>
              <w:t>.0</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7.7</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w:t>
            </w:r>
            <w:r w:rsidR="00E0603C">
              <w:rPr>
                <w:rFonts w:ascii="Times New Roman" w:eastAsia="等线" w:hAnsi="Times New Roman"/>
                <w:color w:val="000000"/>
                <w:kern w:val="0"/>
                <w:sz w:val="18"/>
                <w:szCs w:val="18"/>
              </w:rPr>
              <w:t>.0</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4.9</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5.4</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9.3</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5.3</w:t>
            </w:r>
          </w:p>
        </w:tc>
      </w:tr>
      <w:tr w:rsidR="007033D7" w:rsidRPr="00851191" w:rsidTr="00B30D92">
        <w:trPr>
          <w:trHeight w:val="330"/>
        </w:trPr>
        <w:tc>
          <w:tcPr>
            <w:tcW w:w="0" w:type="auto"/>
            <w:shd w:val="clear" w:color="000000" w:fill="BDD6EE"/>
            <w:noWrap/>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r w:rsidR="007033D7" w:rsidRPr="00851191">
              <w:rPr>
                <w:rFonts w:ascii="仿宋" w:eastAsia="仿宋" w:hAnsi="仿宋" w:cs="宋体" w:hint="eastAsia"/>
                <w:color w:val="000000"/>
                <w:kern w:val="0"/>
                <w:sz w:val="18"/>
                <w:szCs w:val="18"/>
              </w:rPr>
              <w:t>月</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6.3</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w:t>
            </w:r>
            <w:r w:rsidR="00E0603C">
              <w:rPr>
                <w:rFonts w:ascii="Times New Roman" w:eastAsia="等线" w:hAnsi="Times New Roman"/>
                <w:color w:val="000000"/>
                <w:kern w:val="0"/>
                <w:sz w:val="18"/>
                <w:szCs w:val="18"/>
              </w:rPr>
              <w:t>.0</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9.6</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11.7</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8.2</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11.6</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5.5</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9.4</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5.3</w:t>
            </w:r>
          </w:p>
        </w:tc>
      </w:tr>
      <w:tr w:rsidR="007033D7" w:rsidRPr="00851191" w:rsidTr="00B30D92">
        <w:trPr>
          <w:trHeight w:val="330"/>
        </w:trPr>
        <w:tc>
          <w:tcPr>
            <w:tcW w:w="0" w:type="auto"/>
            <w:shd w:val="clear" w:color="000000" w:fill="BDD6EE"/>
            <w:noWrap/>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6</w:t>
            </w:r>
            <w:r w:rsidR="007033D7" w:rsidRPr="00851191">
              <w:rPr>
                <w:rFonts w:ascii="仿宋" w:eastAsia="仿宋" w:hAnsi="仿宋" w:cs="宋体" w:hint="eastAsia"/>
                <w:color w:val="000000"/>
                <w:kern w:val="0"/>
                <w:sz w:val="18"/>
                <w:szCs w:val="18"/>
              </w:rPr>
              <w:t>月</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7.1</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7.7</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10.5</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12.4</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8.7</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12.1</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5.5</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9.3</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5.5</w:t>
            </w:r>
          </w:p>
        </w:tc>
      </w:tr>
      <w:tr w:rsidR="007033D7" w:rsidRPr="00851191" w:rsidTr="00B30D92">
        <w:trPr>
          <w:trHeight w:val="330"/>
        </w:trPr>
        <w:tc>
          <w:tcPr>
            <w:tcW w:w="0" w:type="auto"/>
            <w:shd w:val="clear" w:color="000000" w:fill="BDD6EE"/>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7</w:t>
            </w:r>
            <w:r w:rsidR="007033D7" w:rsidRPr="00851191">
              <w:rPr>
                <w:rFonts w:ascii="仿宋" w:eastAsia="仿宋" w:hAnsi="仿宋" w:cs="宋体" w:hint="eastAsia"/>
                <w:color w:val="000000"/>
                <w:kern w:val="0"/>
                <w:sz w:val="18"/>
                <w:szCs w:val="18"/>
              </w:rPr>
              <w:t>月</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8.6</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9.7</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12.3</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14.4</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9.9</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13.7</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6.5</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10</w:t>
            </w:r>
            <w:r w:rsidR="00E0603C">
              <w:rPr>
                <w:rFonts w:ascii="Times New Roman" w:eastAsia="等线" w:hAnsi="Times New Roman"/>
                <w:color w:val="000000"/>
                <w:kern w:val="0"/>
                <w:sz w:val="18"/>
                <w:szCs w:val="18"/>
              </w:rPr>
              <w:t>.0</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5.6</w:t>
            </w:r>
          </w:p>
        </w:tc>
      </w:tr>
      <w:tr w:rsidR="007033D7" w:rsidRPr="00851191" w:rsidTr="00B30D92">
        <w:trPr>
          <w:trHeight w:val="330"/>
        </w:trPr>
        <w:tc>
          <w:tcPr>
            <w:tcW w:w="0" w:type="auto"/>
            <w:shd w:val="clear" w:color="000000" w:fill="BDD6EE"/>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8</w:t>
            </w:r>
            <w:r w:rsidR="007033D7" w:rsidRPr="00851191">
              <w:rPr>
                <w:rFonts w:ascii="仿宋" w:eastAsia="仿宋" w:hAnsi="仿宋" w:cs="宋体" w:hint="eastAsia"/>
                <w:color w:val="000000"/>
                <w:kern w:val="0"/>
                <w:sz w:val="18"/>
                <w:szCs w:val="18"/>
              </w:rPr>
              <w:t>月</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8.9</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10</w:t>
            </w:r>
            <w:r w:rsidR="00E0603C">
              <w:rPr>
                <w:rFonts w:ascii="Times New Roman" w:eastAsia="等线" w:hAnsi="Times New Roman"/>
                <w:color w:val="000000"/>
                <w:kern w:val="0"/>
                <w:sz w:val="18"/>
                <w:szCs w:val="18"/>
              </w:rPr>
              <w:t>.0</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12.3</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14.3</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9.5</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13.4</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4.9</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6.3</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9.9</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5.7</w:t>
            </w:r>
          </w:p>
        </w:tc>
      </w:tr>
      <w:tr w:rsidR="007033D7" w:rsidRPr="00851191" w:rsidTr="00B30D92">
        <w:trPr>
          <w:trHeight w:val="330"/>
        </w:trPr>
        <w:tc>
          <w:tcPr>
            <w:tcW w:w="0" w:type="auto"/>
            <w:shd w:val="clear" w:color="000000" w:fill="BDD6EE"/>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9</w:t>
            </w:r>
            <w:r w:rsidR="007033D7" w:rsidRPr="00851191">
              <w:rPr>
                <w:rFonts w:ascii="仿宋" w:eastAsia="仿宋" w:hAnsi="仿宋" w:cs="宋体" w:hint="eastAsia"/>
                <w:color w:val="000000"/>
                <w:kern w:val="0"/>
                <w:sz w:val="18"/>
                <w:szCs w:val="18"/>
              </w:rPr>
              <w:t>月</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7.2</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7.9</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11.3</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12.5</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8.4</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11.9</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5.7</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9.3</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5.6</w:t>
            </w:r>
          </w:p>
        </w:tc>
      </w:tr>
      <w:tr w:rsidR="007033D7" w:rsidRPr="00851191" w:rsidTr="00B30D92">
        <w:trPr>
          <w:trHeight w:val="330"/>
        </w:trPr>
        <w:tc>
          <w:tcPr>
            <w:tcW w:w="0" w:type="auto"/>
            <w:shd w:val="clear" w:color="000000" w:fill="BDD6EE"/>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10</w:t>
            </w:r>
            <w:r w:rsidR="007033D7" w:rsidRPr="00851191">
              <w:rPr>
                <w:rFonts w:ascii="仿宋" w:eastAsia="仿宋" w:hAnsi="仿宋" w:cs="宋体" w:hint="eastAsia"/>
                <w:color w:val="000000"/>
                <w:kern w:val="0"/>
                <w:sz w:val="18"/>
                <w:szCs w:val="18"/>
              </w:rPr>
              <w:t>月</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6.2</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6.5</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10.1</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w:t>
            </w:r>
            <w:r w:rsidR="00E0603C">
              <w:rPr>
                <w:rFonts w:ascii="Times New Roman" w:eastAsia="等线" w:hAnsi="Times New Roman"/>
                <w:color w:val="000000"/>
                <w:kern w:val="0"/>
                <w:sz w:val="18"/>
                <w:szCs w:val="18"/>
              </w:rPr>
              <w:t>.0</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7.8</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11.4</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4.9</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5.5</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w:t>
            </w:r>
            <w:r w:rsidR="00E0603C">
              <w:rPr>
                <w:rFonts w:ascii="Times New Roman" w:eastAsia="等线" w:hAnsi="Times New Roman"/>
                <w:color w:val="000000"/>
                <w:kern w:val="0"/>
                <w:sz w:val="18"/>
                <w:szCs w:val="18"/>
              </w:rPr>
              <w:t>.0</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5.4</w:t>
            </w:r>
          </w:p>
        </w:tc>
      </w:tr>
      <w:tr w:rsidR="007033D7" w:rsidRPr="00851191" w:rsidTr="00B30D92">
        <w:trPr>
          <w:trHeight w:val="330"/>
        </w:trPr>
        <w:tc>
          <w:tcPr>
            <w:tcW w:w="0" w:type="auto"/>
            <w:shd w:val="clear" w:color="000000" w:fill="BDD6EE"/>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11</w:t>
            </w:r>
            <w:r w:rsidR="007033D7" w:rsidRPr="00851191">
              <w:rPr>
                <w:rFonts w:ascii="仿宋" w:eastAsia="仿宋" w:hAnsi="仿宋" w:cs="宋体" w:hint="eastAsia"/>
                <w:color w:val="000000"/>
                <w:kern w:val="0"/>
                <w:sz w:val="18"/>
                <w:szCs w:val="18"/>
              </w:rPr>
              <w:t>月</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6.3</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6.4</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9.3</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10.8</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7.7</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11.4</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4.9</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5.3</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8.9</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5.4</w:t>
            </w:r>
          </w:p>
        </w:tc>
      </w:tr>
      <w:tr w:rsidR="007033D7" w:rsidRPr="00851191" w:rsidTr="00B30D92">
        <w:trPr>
          <w:trHeight w:val="330"/>
        </w:trPr>
        <w:tc>
          <w:tcPr>
            <w:tcW w:w="0" w:type="auto"/>
            <w:shd w:val="clear" w:color="000000" w:fill="BDD6EE"/>
            <w:vAlign w:val="center"/>
            <w:hideMark/>
          </w:tcPr>
          <w:p w:rsidR="007033D7" w:rsidRPr="00851191" w:rsidRDefault="000F5E86" w:rsidP="009C05E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12</w:t>
            </w:r>
            <w:r w:rsidR="007033D7" w:rsidRPr="00851191">
              <w:rPr>
                <w:rFonts w:ascii="仿宋" w:eastAsia="仿宋" w:hAnsi="仿宋" w:cs="宋体" w:hint="eastAsia"/>
                <w:color w:val="000000"/>
                <w:kern w:val="0"/>
                <w:sz w:val="18"/>
                <w:szCs w:val="18"/>
              </w:rPr>
              <w:t>月</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w:t>
            </w:r>
            <w:r w:rsidR="00E0603C">
              <w:rPr>
                <w:rFonts w:ascii="Times New Roman" w:eastAsia="等线" w:hAnsi="Times New Roman" w:hint="eastAsia"/>
                <w:color w:val="000000"/>
                <w:kern w:val="0"/>
                <w:sz w:val="18"/>
                <w:szCs w:val="18"/>
              </w:rPr>
              <w:t>.0</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7.5</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9.8</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11.6</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8.1</w:t>
            </w:r>
          </w:p>
        </w:tc>
        <w:tc>
          <w:tcPr>
            <w:tcW w:w="0" w:type="auto"/>
            <w:shd w:val="clear" w:color="000000" w:fill="DEEAF6"/>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11.8</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w:t>
            </w:r>
            <w:r w:rsidR="00E0603C">
              <w:rPr>
                <w:rFonts w:ascii="Times New Roman" w:eastAsia="等线" w:hAnsi="Times New Roman"/>
                <w:color w:val="000000"/>
                <w:kern w:val="0"/>
                <w:sz w:val="18"/>
                <w:szCs w:val="18"/>
              </w:rPr>
              <w:t>.0</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5.7</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9.1</w:t>
            </w:r>
          </w:p>
        </w:tc>
        <w:tc>
          <w:tcPr>
            <w:tcW w:w="0" w:type="auto"/>
            <w:shd w:val="clear" w:color="auto" w:fill="auto"/>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5.5</w:t>
            </w:r>
          </w:p>
        </w:tc>
      </w:tr>
      <w:tr w:rsidR="007033D7" w:rsidRPr="00851191" w:rsidTr="00B30D92">
        <w:trPr>
          <w:trHeight w:val="330"/>
        </w:trPr>
        <w:tc>
          <w:tcPr>
            <w:tcW w:w="0" w:type="auto"/>
            <w:shd w:val="clear" w:color="000000" w:fill="BDD6EE"/>
            <w:noWrap/>
            <w:vAlign w:val="center"/>
            <w:hideMark/>
          </w:tcPr>
          <w:p w:rsidR="007033D7" w:rsidRPr="00851191" w:rsidRDefault="007033D7" w:rsidP="009C05E5">
            <w:pPr>
              <w:widowControl/>
              <w:jc w:val="center"/>
              <w:rPr>
                <w:rFonts w:ascii="仿宋" w:eastAsia="仿宋" w:hAnsi="仿宋" w:cs="宋体"/>
                <w:color w:val="000000"/>
                <w:kern w:val="0"/>
                <w:sz w:val="18"/>
                <w:szCs w:val="18"/>
              </w:rPr>
            </w:pPr>
            <w:r w:rsidRPr="00851191">
              <w:rPr>
                <w:rFonts w:ascii="仿宋" w:eastAsia="仿宋" w:hAnsi="仿宋" w:cs="宋体" w:hint="eastAsia"/>
                <w:color w:val="000000"/>
                <w:kern w:val="0"/>
                <w:sz w:val="18"/>
                <w:szCs w:val="18"/>
              </w:rPr>
              <w:t>全年</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85</w:t>
            </w:r>
            <w:r w:rsidR="00E0603C">
              <w:rPr>
                <w:rFonts w:ascii="Times New Roman" w:eastAsia="等线" w:hAnsi="Times New Roman"/>
                <w:color w:val="000000"/>
                <w:kern w:val="0"/>
                <w:sz w:val="18"/>
                <w:szCs w:val="18"/>
              </w:rPr>
              <w:t>.0</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91.3</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124.8</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145.9</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100.7</w:t>
            </w:r>
          </w:p>
        </w:tc>
        <w:tc>
          <w:tcPr>
            <w:tcW w:w="0" w:type="auto"/>
            <w:shd w:val="clear" w:color="000000" w:fill="DEEAF6"/>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143.5</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59.6</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68.1</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111.7</w:t>
            </w:r>
          </w:p>
        </w:tc>
        <w:tc>
          <w:tcPr>
            <w:tcW w:w="0" w:type="auto"/>
            <w:shd w:val="clear" w:color="auto" w:fill="auto"/>
            <w:noWrap/>
            <w:vAlign w:val="center"/>
            <w:hideMark/>
          </w:tcPr>
          <w:p w:rsidR="007033D7" w:rsidRPr="00851191" w:rsidRDefault="007033D7" w:rsidP="00E0603C">
            <w:pPr>
              <w:widowControl/>
              <w:jc w:val="right"/>
              <w:rPr>
                <w:rFonts w:ascii="Times New Roman" w:eastAsia="等线" w:hAnsi="Times New Roman"/>
                <w:color w:val="000000"/>
                <w:kern w:val="0"/>
                <w:sz w:val="18"/>
                <w:szCs w:val="18"/>
              </w:rPr>
            </w:pPr>
            <w:r w:rsidRPr="00851191">
              <w:rPr>
                <w:rFonts w:ascii="Times New Roman" w:eastAsia="等线" w:hAnsi="Times New Roman"/>
                <w:color w:val="000000"/>
                <w:kern w:val="0"/>
                <w:sz w:val="18"/>
                <w:szCs w:val="18"/>
              </w:rPr>
              <w:t>65.6</w:t>
            </w:r>
          </w:p>
        </w:tc>
      </w:tr>
    </w:tbl>
    <w:p w:rsidR="00246B65" w:rsidRDefault="003C54AC" w:rsidP="00DB66EC">
      <w:pPr>
        <w:spacing w:beforeLines="50" w:line="360" w:lineRule="auto"/>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2016</w:t>
      </w:r>
      <w:r w:rsidR="00CE1133">
        <w:rPr>
          <w:rFonts w:ascii="仿宋_GB2312" w:eastAsia="仿宋_GB2312" w:hAnsi="仿宋" w:cstheme="minorBidi" w:hint="eastAsia"/>
          <w:sz w:val="30"/>
          <w:szCs w:val="30"/>
        </w:rPr>
        <w:t>年</w:t>
      </w:r>
      <w:r>
        <w:rPr>
          <w:rFonts w:ascii="仿宋_GB2312" w:eastAsia="仿宋_GB2312" w:hAnsi="仿宋" w:cstheme="minorBidi" w:hint="eastAsia"/>
          <w:sz w:val="30"/>
          <w:szCs w:val="30"/>
        </w:rPr>
        <w:t>，</w:t>
      </w:r>
      <w:r w:rsidR="00696491">
        <w:rPr>
          <w:rFonts w:ascii="仿宋_GB2312" w:eastAsia="仿宋_GB2312" w:hAnsi="仿宋" w:cstheme="minorBidi" w:hint="eastAsia"/>
          <w:sz w:val="30"/>
          <w:szCs w:val="30"/>
        </w:rPr>
        <w:t>能耗监测平台</w:t>
      </w:r>
      <w:r>
        <w:rPr>
          <w:rFonts w:ascii="仿宋_GB2312" w:eastAsia="仿宋_GB2312" w:hAnsi="仿宋" w:cstheme="minorBidi" w:hint="eastAsia"/>
          <w:sz w:val="30"/>
          <w:szCs w:val="30"/>
        </w:rPr>
        <w:t>中接入量较大的6类公共</w:t>
      </w:r>
      <w:r w:rsidR="00246B65" w:rsidRPr="00246B65">
        <w:rPr>
          <w:rFonts w:ascii="仿宋_GB2312" w:eastAsia="仿宋_GB2312" w:hAnsi="仿宋" w:cstheme="minorBidi" w:hint="eastAsia"/>
          <w:sz w:val="30"/>
          <w:szCs w:val="30"/>
        </w:rPr>
        <w:t>建筑</w:t>
      </w:r>
      <w:r>
        <w:rPr>
          <w:rFonts w:ascii="仿宋_GB2312" w:eastAsia="仿宋_GB2312" w:hAnsi="仿宋" w:cstheme="minorBidi" w:hint="eastAsia"/>
          <w:sz w:val="30"/>
          <w:szCs w:val="30"/>
        </w:rPr>
        <w:t>中，</w:t>
      </w:r>
      <w:r w:rsidR="00651A89">
        <w:rPr>
          <w:rFonts w:ascii="仿宋_GB2312" w:eastAsia="仿宋_GB2312" w:hAnsi="仿宋" w:cstheme="minorBidi" w:hint="eastAsia"/>
          <w:sz w:val="30"/>
          <w:szCs w:val="30"/>
        </w:rPr>
        <w:t>每类建筑按照7个档位的单位面积用电</w:t>
      </w:r>
      <w:r w:rsidR="00246B65" w:rsidRPr="00246B65">
        <w:rPr>
          <w:rFonts w:ascii="仿宋_GB2312" w:eastAsia="仿宋_GB2312" w:hAnsi="仿宋" w:cstheme="minorBidi" w:hint="eastAsia"/>
          <w:sz w:val="30"/>
          <w:szCs w:val="30"/>
        </w:rPr>
        <w:t>强度</w:t>
      </w:r>
      <w:r w:rsidR="00651A89">
        <w:rPr>
          <w:rFonts w:ascii="仿宋_GB2312" w:eastAsia="仿宋_GB2312" w:hAnsi="仿宋" w:cstheme="minorBidi" w:hint="eastAsia"/>
          <w:sz w:val="30"/>
          <w:szCs w:val="30"/>
        </w:rPr>
        <w:t>划分，比例分布情况如</w:t>
      </w:r>
      <w:r w:rsidR="00651A89" w:rsidRPr="00676B65">
        <w:rPr>
          <w:rFonts w:ascii="仿宋_GB2312" w:eastAsia="仿宋_GB2312" w:hAnsi="仿宋" w:cstheme="minorBidi" w:hint="eastAsia"/>
          <w:sz w:val="30"/>
          <w:szCs w:val="30"/>
        </w:rPr>
        <w:t>图</w:t>
      </w:r>
      <w:r w:rsidR="00676B65" w:rsidRPr="00676B65">
        <w:rPr>
          <w:rFonts w:ascii="仿宋_GB2312" w:eastAsia="仿宋_GB2312" w:hAnsi="仿宋" w:cstheme="minorBidi"/>
          <w:sz w:val="30"/>
          <w:szCs w:val="30"/>
        </w:rPr>
        <w:t>14</w:t>
      </w:r>
      <w:r w:rsidR="00651A89">
        <w:rPr>
          <w:rFonts w:ascii="仿宋_GB2312" w:eastAsia="仿宋_GB2312" w:hAnsi="仿宋" w:cstheme="minorBidi" w:hint="eastAsia"/>
          <w:sz w:val="30"/>
          <w:szCs w:val="30"/>
        </w:rPr>
        <w:t>所示。</w:t>
      </w:r>
      <w:r w:rsidR="0097515B">
        <w:rPr>
          <w:rFonts w:ascii="仿宋_GB2312" w:eastAsia="仿宋_GB2312" w:hAnsi="仿宋" w:cstheme="minorBidi" w:hint="eastAsia"/>
          <w:sz w:val="30"/>
          <w:szCs w:val="30"/>
        </w:rPr>
        <w:t>其中国家机关办公建筑、办公建筑和综合建筑用电强度小于100k</w:t>
      </w:r>
      <w:r w:rsidR="0097515B">
        <w:rPr>
          <w:rFonts w:ascii="仿宋_GB2312" w:eastAsia="仿宋_GB2312" w:hAnsi="仿宋" w:cstheme="minorBidi"/>
          <w:sz w:val="30"/>
          <w:szCs w:val="30"/>
        </w:rPr>
        <w:t>Wh/m</w:t>
      </w:r>
      <w:r w:rsidR="0097515B">
        <w:rPr>
          <w:rFonts w:ascii="仿宋_GB2312" w:eastAsia="仿宋_GB2312" w:hAnsi="仿宋" w:cstheme="minorBidi"/>
          <w:sz w:val="30"/>
          <w:szCs w:val="30"/>
          <w:vertAlign w:val="superscript"/>
        </w:rPr>
        <w:t>2</w:t>
      </w:r>
      <w:r w:rsidR="0097515B">
        <w:rPr>
          <w:rFonts w:ascii="仿宋_GB2312" w:eastAsia="仿宋_GB2312" w:hAnsi="仿宋" w:cstheme="minorBidi" w:hint="eastAsia"/>
          <w:sz w:val="30"/>
          <w:szCs w:val="30"/>
        </w:rPr>
        <w:t>的建筑超过60%，因此这三类建筑的平均能耗</w:t>
      </w:r>
      <w:r w:rsidR="00403F64">
        <w:rPr>
          <w:rFonts w:ascii="仿宋_GB2312" w:eastAsia="仿宋_GB2312" w:hAnsi="仿宋" w:cstheme="minorBidi" w:hint="eastAsia"/>
          <w:sz w:val="30"/>
          <w:szCs w:val="30"/>
        </w:rPr>
        <w:t>明显</w:t>
      </w:r>
      <w:r w:rsidR="0097515B">
        <w:rPr>
          <w:rFonts w:ascii="仿宋_GB2312" w:eastAsia="仿宋_GB2312" w:hAnsi="仿宋" w:cstheme="minorBidi" w:hint="eastAsia"/>
          <w:sz w:val="30"/>
          <w:szCs w:val="30"/>
        </w:rPr>
        <w:t>小于其余三类建筑。商场建筑用电强度大于200k</w:t>
      </w:r>
      <w:r w:rsidR="0097515B">
        <w:rPr>
          <w:rFonts w:ascii="仿宋_GB2312" w:eastAsia="仿宋_GB2312" w:hAnsi="仿宋" w:cstheme="minorBidi"/>
          <w:sz w:val="30"/>
          <w:szCs w:val="30"/>
        </w:rPr>
        <w:t>Wh/m</w:t>
      </w:r>
      <w:r w:rsidR="0097515B">
        <w:rPr>
          <w:rFonts w:ascii="仿宋_GB2312" w:eastAsia="仿宋_GB2312" w:hAnsi="仿宋" w:cstheme="minorBidi"/>
          <w:sz w:val="30"/>
          <w:szCs w:val="30"/>
          <w:vertAlign w:val="superscript"/>
        </w:rPr>
        <w:t>2</w:t>
      </w:r>
      <w:r w:rsidR="0097515B">
        <w:rPr>
          <w:rFonts w:ascii="仿宋_GB2312" w:eastAsia="仿宋_GB2312" w:hAnsi="仿宋" w:cstheme="minorBidi" w:hint="eastAsia"/>
          <w:sz w:val="30"/>
          <w:szCs w:val="30"/>
        </w:rPr>
        <w:t>的较多，</w:t>
      </w:r>
      <w:r w:rsidR="00B04848">
        <w:rPr>
          <w:rFonts w:ascii="仿宋_GB2312" w:eastAsia="仿宋_GB2312" w:hAnsi="仿宋" w:cstheme="minorBidi" w:hint="eastAsia"/>
          <w:sz w:val="30"/>
          <w:szCs w:val="30"/>
        </w:rPr>
        <w:t>接近3</w:t>
      </w:r>
      <w:r w:rsidR="0097515B">
        <w:rPr>
          <w:rFonts w:ascii="仿宋_GB2312" w:eastAsia="仿宋_GB2312" w:hAnsi="仿宋" w:cstheme="minorBidi" w:hint="eastAsia"/>
          <w:sz w:val="30"/>
          <w:szCs w:val="30"/>
        </w:rPr>
        <w:t>0%</w:t>
      </w:r>
      <w:r w:rsidR="00B04848">
        <w:rPr>
          <w:rFonts w:ascii="仿宋_GB2312" w:eastAsia="仿宋_GB2312" w:hAnsi="仿宋" w:cstheme="minorBidi" w:hint="eastAsia"/>
          <w:sz w:val="30"/>
          <w:szCs w:val="30"/>
        </w:rPr>
        <w:t>，一定程度上由建筑</w:t>
      </w:r>
      <w:r w:rsidR="00223998">
        <w:rPr>
          <w:rFonts w:ascii="仿宋_GB2312" w:eastAsia="仿宋_GB2312" w:hAnsi="仿宋" w:cstheme="minorBidi" w:hint="eastAsia"/>
          <w:sz w:val="30"/>
          <w:szCs w:val="30"/>
        </w:rPr>
        <w:t>功能</w:t>
      </w:r>
      <w:r w:rsidR="00B04848">
        <w:rPr>
          <w:rFonts w:ascii="仿宋_GB2312" w:eastAsia="仿宋_GB2312" w:hAnsi="仿宋" w:cstheme="minorBidi" w:hint="eastAsia"/>
          <w:sz w:val="30"/>
          <w:szCs w:val="30"/>
        </w:rPr>
        <w:t>需求导致，</w:t>
      </w:r>
      <w:r w:rsidR="00B04848">
        <w:rPr>
          <w:rFonts w:ascii="仿宋_GB2312" w:eastAsia="仿宋_GB2312" w:hAnsi="仿宋" w:cstheme="minorBidi" w:hint="eastAsia"/>
          <w:sz w:val="30"/>
          <w:szCs w:val="30"/>
        </w:rPr>
        <w:lastRenderedPageBreak/>
        <w:t>但同时也说明具有较大的节能潜力</w:t>
      </w:r>
      <w:r w:rsidR="0097515B">
        <w:rPr>
          <w:rFonts w:ascii="仿宋_GB2312" w:eastAsia="仿宋_GB2312" w:hAnsi="仿宋" w:cstheme="minorBidi" w:hint="eastAsia"/>
          <w:sz w:val="30"/>
          <w:szCs w:val="30"/>
        </w:rPr>
        <w:t>。</w:t>
      </w:r>
    </w:p>
    <w:p w:rsidR="00676B65" w:rsidRPr="0097515B" w:rsidRDefault="00BB3ECE" w:rsidP="00CD3289">
      <w:pPr>
        <w:jc w:val="center"/>
        <w:rPr>
          <w:rFonts w:ascii="仿宋_GB2312" w:eastAsia="仿宋_GB2312" w:hAnsi="仿宋" w:cstheme="minorBidi"/>
          <w:sz w:val="30"/>
          <w:szCs w:val="30"/>
        </w:rPr>
      </w:pPr>
      <w:r>
        <w:rPr>
          <w:noProof/>
        </w:rPr>
        <w:drawing>
          <wp:inline distT="0" distB="0" distL="0" distR="0">
            <wp:extent cx="5205730" cy="325755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46B65" w:rsidRDefault="009C7B83" w:rsidP="00DB66EC">
      <w:pPr>
        <w:spacing w:afterLines="50"/>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图</w:t>
      </w:r>
      <w:r w:rsidR="00C71D4D">
        <w:rPr>
          <w:rFonts w:ascii="Times New Roman" w:eastAsia="仿宋_GB2312" w:hAnsi="Times New Roman" w:hint="eastAsia"/>
          <w:color w:val="000000" w:themeColor="text1"/>
          <w:sz w:val="24"/>
          <w:szCs w:val="24"/>
        </w:rPr>
        <w:t>14</w:t>
      </w:r>
      <w:r w:rsidR="00651A89">
        <w:rPr>
          <w:rFonts w:ascii="Times New Roman" w:eastAsia="仿宋_GB2312" w:hAnsi="Times New Roman" w:hint="eastAsia"/>
          <w:color w:val="000000" w:themeColor="text1"/>
          <w:sz w:val="24"/>
          <w:szCs w:val="24"/>
        </w:rPr>
        <w:t xml:space="preserve">  2016</w:t>
      </w:r>
      <w:r w:rsidR="006F254E">
        <w:rPr>
          <w:rFonts w:ascii="Times New Roman" w:eastAsia="仿宋_GB2312" w:hAnsi="Times New Roman" w:hint="eastAsia"/>
          <w:color w:val="000000" w:themeColor="text1"/>
          <w:sz w:val="24"/>
          <w:szCs w:val="24"/>
        </w:rPr>
        <w:t>年接入能耗监测平台主要类型</w:t>
      </w:r>
      <w:r w:rsidR="00651A89">
        <w:rPr>
          <w:rFonts w:ascii="Times New Roman" w:eastAsia="仿宋_GB2312" w:hAnsi="Times New Roman" w:hint="eastAsia"/>
          <w:color w:val="000000" w:themeColor="text1"/>
          <w:sz w:val="24"/>
          <w:szCs w:val="24"/>
        </w:rPr>
        <w:t>建筑用电强度分布情况</w:t>
      </w:r>
    </w:p>
    <w:p w:rsidR="00712CA6" w:rsidRDefault="00700C71" w:rsidP="00DB66EC">
      <w:pPr>
        <w:spacing w:afterLines="50" w:line="360" w:lineRule="auto"/>
        <w:ind w:firstLineChars="200" w:firstLine="600"/>
        <w:jc w:val="left"/>
        <w:rPr>
          <w:rFonts w:ascii="仿宋_GB2312" w:eastAsia="仿宋_GB2312" w:hAnsi="仿宋" w:cstheme="minorBidi"/>
          <w:sz w:val="30"/>
          <w:szCs w:val="30"/>
        </w:rPr>
      </w:pPr>
      <w:r>
        <w:rPr>
          <w:rFonts w:ascii="仿宋_GB2312" w:eastAsia="仿宋_GB2312" w:hAnsi="仿宋" w:cstheme="minorBidi" w:hint="eastAsia"/>
          <w:sz w:val="30"/>
          <w:szCs w:val="30"/>
        </w:rPr>
        <w:t>根据上海市</w:t>
      </w:r>
      <w:r w:rsidR="00223998">
        <w:rPr>
          <w:rFonts w:ascii="仿宋_GB2312" w:eastAsia="仿宋_GB2312" w:hAnsi="仿宋" w:cstheme="minorBidi" w:hint="eastAsia"/>
          <w:sz w:val="30"/>
          <w:szCs w:val="30"/>
        </w:rPr>
        <w:t>主要</w:t>
      </w:r>
      <w:r w:rsidR="00223998">
        <w:rPr>
          <w:rFonts w:ascii="仿宋_GB2312" w:eastAsia="仿宋_GB2312" w:hAnsi="仿宋" w:cstheme="minorBidi"/>
          <w:sz w:val="30"/>
          <w:szCs w:val="30"/>
        </w:rPr>
        <w:t>类型建筑</w:t>
      </w:r>
      <w:r>
        <w:rPr>
          <w:rFonts w:ascii="仿宋_GB2312" w:eastAsia="仿宋_GB2312" w:hAnsi="仿宋" w:cstheme="minorBidi" w:hint="eastAsia"/>
          <w:sz w:val="30"/>
          <w:szCs w:val="30"/>
        </w:rPr>
        <w:t>合理用能指南</w:t>
      </w:r>
      <w:r w:rsidR="00223998">
        <w:rPr>
          <w:rFonts w:ascii="仿宋_GB2312" w:eastAsia="仿宋_GB2312" w:hAnsi="仿宋" w:cstheme="minorBidi" w:hint="eastAsia"/>
          <w:sz w:val="30"/>
          <w:szCs w:val="30"/>
        </w:rPr>
        <w:t>给出</w:t>
      </w:r>
      <w:r w:rsidR="00223998">
        <w:rPr>
          <w:rFonts w:ascii="仿宋_GB2312" w:eastAsia="仿宋_GB2312" w:hAnsi="仿宋" w:cstheme="minorBidi"/>
          <w:sz w:val="30"/>
          <w:szCs w:val="30"/>
        </w:rPr>
        <w:t>的用能</w:t>
      </w:r>
      <w:r>
        <w:rPr>
          <w:rFonts w:ascii="仿宋_GB2312" w:eastAsia="仿宋_GB2312" w:hAnsi="仿宋" w:cstheme="minorBidi" w:hint="eastAsia"/>
          <w:sz w:val="30"/>
          <w:szCs w:val="30"/>
        </w:rPr>
        <w:t>合理值</w:t>
      </w:r>
      <w:r w:rsidR="00965BE8">
        <w:rPr>
          <w:rFonts w:ascii="仿宋_GB2312" w:eastAsia="仿宋_GB2312" w:hAnsi="仿宋" w:cstheme="minorBidi" w:hint="eastAsia"/>
          <w:sz w:val="30"/>
          <w:szCs w:val="30"/>
        </w:rPr>
        <w:t>核算</w:t>
      </w:r>
      <w:r>
        <w:rPr>
          <w:rFonts w:ascii="仿宋_GB2312" w:eastAsia="仿宋_GB2312" w:hAnsi="仿宋" w:cstheme="minorBidi" w:hint="eastAsia"/>
          <w:sz w:val="30"/>
          <w:szCs w:val="30"/>
        </w:rPr>
        <w:t>方法</w:t>
      </w:r>
      <w:r w:rsidR="00733E4C">
        <w:rPr>
          <w:rFonts w:ascii="仿宋_GB2312" w:eastAsia="仿宋_GB2312" w:hAnsi="仿宋" w:cstheme="minorBidi" w:hint="eastAsia"/>
          <w:sz w:val="30"/>
          <w:szCs w:val="30"/>
        </w:rPr>
        <w:t>，</w:t>
      </w:r>
      <w:r>
        <w:rPr>
          <w:rFonts w:ascii="仿宋_GB2312" w:eastAsia="仿宋_GB2312" w:hAnsi="仿宋" w:cstheme="minorBidi" w:hint="eastAsia"/>
          <w:sz w:val="30"/>
          <w:szCs w:val="30"/>
        </w:rPr>
        <w:t>对</w:t>
      </w:r>
      <w:r w:rsidR="001B11FD">
        <w:rPr>
          <w:rFonts w:ascii="仿宋_GB2312" w:eastAsia="仿宋_GB2312" w:hAnsi="仿宋" w:cstheme="minorBidi" w:hint="eastAsia"/>
          <w:sz w:val="30"/>
          <w:szCs w:val="30"/>
        </w:rPr>
        <w:t>2016年</w:t>
      </w:r>
      <w:r>
        <w:rPr>
          <w:rFonts w:ascii="仿宋_GB2312" w:eastAsia="仿宋_GB2312" w:hAnsi="仿宋" w:cstheme="minorBidi" w:hint="eastAsia"/>
          <w:sz w:val="30"/>
          <w:szCs w:val="30"/>
        </w:rPr>
        <w:t>接</w:t>
      </w:r>
      <w:r w:rsidR="00651A89">
        <w:rPr>
          <w:rFonts w:ascii="仿宋_GB2312" w:eastAsia="仿宋_GB2312" w:hAnsi="仿宋" w:cstheme="minorBidi" w:hint="eastAsia"/>
          <w:sz w:val="30"/>
          <w:szCs w:val="30"/>
        </w:rPr>
        <w:t>入</w:t>
      </w:r>
      <w:r w:rsidR="00696491">
        <w:rPr>
          <w:rFonts w:ascii="仿宋_GB2312" w:eastAsia="仿宋_GB2312" w:hAnsi="仿宋" w:cstheme="minorBidi" w:hint="eastAsia"/>
          <w:sz w:val="30"/>
          <w:szCs w:val="30"/>
        </w:rPr>
        <w:t>能耗监测平台</w:t>
      </w:r>
      <w:r w:rsidR="00651A89">
        <w:rPr>
          <w:rFonts w:ascii="仿宋_GB2312" w:eastAsia="仿宋_GB2312" w:hAnsi="仿宋" w:cstheme="minorBidi" w:hint="eastAsia"/>
          <w:sz w:val="30"/>
          <w:szCs w:val="30"/>
        </w:rPr>
        <w:t>的公共建筑</w:t>
      </w:r>
      <w:r>
        <w:rPr>
          <w:rFonts w:ascii="仿宋_GB2312" w:eastAsia="仿宋_GB2312" w:hAnsi="仿宋" w:cstheme="minorBidi" w:hint="eastAsia"/>
          <w:sz w:val="30"/>
          <w:szCs w:val="30"/>
        </w:rPr>
        <w:t>用电量情况进行分析</w:t>
      </w:r>
      <w:r w:rsidR="00731018">
        <w:rPr>
          <w:rFonts w:ascii="仿宋_GB2312" w:eastAsia="仿宋_GB2312" w:hAnsi="仿宋" w:cstheme="minorBidi" w:hint="eastAsia"/>
          <w:sz w:val="30"/>
          <w:szCs w:val="30"/>
        </w:rPr>
        <w:t>与计算</w:t>
      </w:r>
      <w:r w:rsidR="000402DF">
        <w:rPr>
          <w:rFonts w:ascii="仿宋_GB2312" w:eastAsia="仿宋_GB2312" w:hAnsi="仿宋" w:cstheme="minorBidi" w:hint="eastAsia"/>
          <w:sz w:val="30"/>
          <w:szCs w:val="30"/>
        </w:rPr>
        <w:t>，</w:t>
      </w:r>
      <w:r w:rsidR="006E5682">
        <w:rPr>
          <w:rFonts w:ascii="仿宋_GB2312" w:eastAsia="仿宋_GB2312" w:hAnsi="仿宋" w:cstheme="minorBidi" w:hint="eastAsia"/>
          <w:sz w:val="30"/>
          <w:szCs w:val="30"/>
        </w:rPr>
        <w:t>主要</w:t>
      </w:r>
      <w:r w:rsidR="000402DF">
        <w:rPr>
          <w:rFonts w:ascii="仿宋_GB2312" w:eastAsia="仿宋_GB2312" w:hAnsi="仿宋" w:cstheme="minorBidi" w:hint="eastAsia"/>
          <w:sz w:val="30"/>
          <w:szCs w:val="30"/>
        </w:rPr>
        <w:t>类型建筑</w:t>
      </w:r>
      <w:r w:rsidR="00733E4C">
        <w:rPr>
          <w:rFonts w:ascii="仿宋_GB2312" w:eastAsia="仿宋_GB2312" w:hAnsi="仿宋" w:cstheme="minorBidi" w:hint="eastAsia"/>
          <w:sz w:val="30"/>
          <w:szCs w:val="30"/>
        </w:rPr>
        <w:t>的</w:t>
      </w:r>
      <w:r w:rsidR="001B11FD">
        <w:rPr>
          <w:rFonts w:ascii="仿宋_GB2312" w:eastAsia="仿宋_GB2312" w:hAnsi="仿宋" w:cstheme="minorBidi" w:hint="eastAsia"/>
          <w:sz w:val="30"/>
          <w:szCs w:val="30"/>
        </w:rPr>
        <w:t>建议</w:t>
      </w:r>
      <w:r w:rsidR="00733E4C">
        <w:rPr>
          <w:rFonts w:ascii="仿宋_GB2312" w:eastAsia="仿宋_GB2312" w:hAnsi="仿宋" w:cstheme="minorBidi" w:hint="eastAsia"/>
          <w:sz w:val="30"/>
          <w:szCs w:val="30"/>
        </w:rPr>
        <w:t>年用电</w:t>
      </w:r>
      <w:r w:rsidR="006E5682">
        <w:rPr>
          <w:rFonts w:ascii="仿宋_GB2312" w:eastAsia="仿宋_GB2312" w:hAnsi="仿宋" w:cstheme="minorBidi" w:hint="eastAsia"/>
          <w:sz w:val="30"/>
          <w:szCs w:val="30"/>
        </w:rPr>
        <w:t>强度</w:t>
      </w:r>
      <w:r w:rsidR="00733E4C">
        <w:rPr>
          <w:rFonts w:ascii="仿宋_GB2312" w:eastAsia="仿宋_GB2312" w:hAnsi="仿宋" w:cstheme="minorBidi" w:hint="eastAsia"/>
          <w:sz w:val="30"/>
          <w:szCs w:val="30"/>
        </w:rPr>
        <w:t>合理值</w:t>
      </w:r>
      <w:r w:rsidR="00651A89">
        <w:rPr>
          <w:rFonts w:ascii="仿宋_GB2312" w:eastAsia="仿宋_GB2312" w:hAnsi="仿宋" w:cstheme="minorBidi" w:hint="eastAsia"/>
          <w:sz w:val="30"/>
          <w:szCs w:val="30"/>
        </w:rPr>
        <w:t>如表4所示。</w:t>
      </w:r>
    </w:p>
    <w:p w:rsidR="0009383B" w:rsidRDefault="00651A89" w:rsidP="00712CA6">
      <w:pPr>
        <w:jc w:val="center"/>
        <w:rPr>
          <w:rFonts w:ascii="Times New Roman" w:eastAsia="仿宋_GB2312" w:hAnsi="Times New Roman"/>
          <w:color w:val="000000" w:themeColor="text1"/>
          <w:sz w:val="24"/>
          <w:szCs w:val="24"/>
        </w:rPr>
      </w:pPr>
      <w:r w:rsidRPr="00651A89">
        <w:rPr>
          <w:rFonts w:ascii="Times New Roman" w:eastAsia="仿宋_GB2312" w:hAnsi="Times New Roman" w:hint="eastAsia"/>
          <w:color w:val="000000" w:themeColor="text1"/>
          <w:sz w:val="24"/>
          <w:szCs w:val="24"/>
        </w:rPr>
        <w:t>表</w:t>
      </w:r>
      <w:r w:rsidRPr="00651A89">
        <w:rPr>
          <w:rFonts w:ascii="Times New Roman" w:eastAsia="仿宋_GB2312" w:hAnsi="Times New Roman" w:hint="eastAsia"/>
          <w:color w:val="000000" w:themeColor="text1"/>
          <w:sz w:val="24"/>
          <w:szCs w:val="24"/>
        </w:rPr>
        <w:t xml:space="preserve">4  </w:t>
      </w:r>
      <w:r w:rsidR="00AB2DCF">
        <w:rPr>
          <w:rFonts w:ascii="Times New Roman" w:eastAsia="仿宋_GB2312" w:hAnsi="Times New Roman" w:hint="eastAsia"/>
          <w:color w:val="000000" w:themeColor="text1"/>
          <w:sz w:val="24"/>
          <w:szCs w:val="24"/>
        </w:rPr>
        <w:t>2016</w:t>
      </w:r>
      <w:r w:rsidR="006E5682">
        <w:rPr>
          <w:rFonts w:ascii="Times New Roman" w:eastAsia="仿宋_GB2312" w:hAnsi="Times New Roman" w:hint="eastAsia"/>
          <w:color w:val="000000" w:themeColor="text1"/>
          <w:sz w:val="24"/>
          <w:szCs w:val="24"/>
        </w:rPr>
        <w:t>年接入</w:t>
      </w:r>
      <w:r w:rsidR="00696491">
        <w:rPr>
          <w:rFonts w:ascii="Times New Roman" w:eastAsia="仿宋_GB2312" w:hAnsi="Times New Roman" w:hint="eastAsia"/>
          <w:color w:val="000000" w:themeColor="text1"/>
          <w:sz w:val="24"/>
          <w:szCs w:val="24"/>
        </w:rPr>
        <w:t>能耗监测平台</w:t>
      </w:r>
      <w:r w:rsidR="006E5682">
        <w:rPr>
          <w:rFonts w:ascii="Times New Roman" w:eastAsia="仿宋_GB2312" w:hAnsi="Times New Roman" w:hint="eastAsia"/>
          <w:color w:val="000000" w:themeColor="text1"/>
          <w:sz w:val="24"/>
          <w:szCs w:val="24"/>
        </w:rPr>
        <w:t>的</w:t>
      </w:r>
      <w:r w:rsidR="00223998">
        <w:rPr>
          <w:rFonts w:ascii="Times New Roman" w:eastAsia="仿宋_GB2312" w:hAnsi="Times New Roman" w:hint="eastAsia"/>
          <w:color w:val="000000" w:themeColor="text1"/>
          <w:sz w:val="24"/>
          <w:szCs w:val="24"/>
        </w:rPr>
        <w:t>主要</w:t>
      </w:r>
      <w:r w:rsidR="00223998">
        <w:rPr>
          <w:rFonts w:ascii="Times New Roman" w:eastAsia="仿宋_GB2312" w:hAnsi="Times New Roman"/>
          <w:color w:val="000000" w:themeColor="text1"/>
          <w:sz w:val="24"/>
          <w:szCs w:val="24"/>
        </w:rPr>
        <w:t>类型</w:t>
      </w:r>
      <w:r w:rsidRPr="00651A89">
        <w:rPr>
          <w:rFonts w:ascii="Times New Roman" w:eastAsia="仿宋_GB2312" w:hAnsi="Times New Roman" w:hint="eastAsia"/>
          <w:color w:val="000000" w:themeColor="text1"/>
          <w:sz w:val="24"/>
          <w:szCs w:val="24"/>
        </w:rPr>
        <w:t>建筑</w:t>
      </w:r>
      <w:r w:rsidR="00B9156F">
        <w:rPr>
          <w:rFonts w:ascii="Times New Roman" w:eastAsia="仿宋_GB2312" w:hAnsi="Times New Roman" w:hint="eastAsia"/>
          <w:color w:val="000000" w:themeColor="text1"/>
          <w:sz w:val="24"/>
          <w:szCs w:val="24"/>
        </w:rPr>
        <w:t>建议</w:t>
      </w:r>
      <w:r w:rsidR="000E2810">
        <w:rPr>
          <w:rFonts w:ascii="Times New Roman" w:eastAsia="仿宋_GB2312" w:hAnsi="Times New Roman" w:hint="eastAsia"/>
          <w:color w:val="000000" w:themeColor="text1"/>
          <w:sz w:val="24"/>
          <w:szCs w:val="24"/>
        </w:rPr>
        <w:t>年</w:t>
      </w:r>
      <w:r w:rsidRPr="00651A89">
        <w:rPr>
          <w:rFonts w:ascii="Times New Roman" w:eastAsia="仿宋_GB2312" w:hAnsi="Times New Roman" w:hint="eastAsia"/>
          <w:color w:val="000000" w:themeColor="text1"/>
          <w:sz w:val="24"/>
          <w:szCs w:val="24"/>
        </w:rPr>
        <w:t>用电</w:t>
      </w:r>
      <w:r w:rsidR="00223998">
        <w:rPr>
          <w:rFonts w:ascii="Times New Roman" w:eastAsia="仿宋_GB2312" w:hAnsi="Times New Roman" w:hint="eastAsia"/>
          <w:color w:val="000000" w:themeColor="text1"/>
          <w:sz w:val="24"/>
          <w:szCs w:val="24"/>
        </w:rPr>
        <w:t>强度</w:t>
      </w:r>
      <w:r w:rsidR="00733E4C">
        <w:rPr>
          <w:rFonts w:ascii="Times New Roman" w:eastAsia="仿宋_GB2312" w:hAnsi="Times New Roman" w:hint="eastAsia"/>
          <w:color w:val="000000" w:themeColor="text1"/>
          <w:sz w:val="24"/>
          <w:szCs w:val="24"/>
        </w:rPr>
        <w:t>合理值</w:t>
      </w:r>
    </w:p>
    <w:tbl>
      <w:tblPr>
        <w:tblW w:w="833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tblPr>
      <w:tblGrid>
        <w:gridCol w:w="1715"/>
        <w:gridCol w:w="1276"/>
        <w:gridCol w:w="992"/>
        <w:gridCol w:w="1120"/>
        <w:gridCol w:w="992"/>
        <w:gridCol w:w="1054"/>
        <w:gridCol w:w="1190"/>
      </w:tblGrid>
      <w:tr w:rsidR="00733E4C" w:rsidRPr="003F334A" w:rsidTr="00B30D92">
        <w:trPr>
          <w:trHeight w:val="619"/>
          <w:jc w:val="center"/>
        </w:trPr>
        <w:tc>
          <w:tcPr>
            <w:tcW w:w="1715" w:type="dxa"/>
            <w:shd w:val="clear" w:color="auto" w:fill="auto"/>
            <w:noWrap/>
            <w:vAlign w:val="center"/>
            <w:hideMark/>
          </w:tcPr>
          <w:p w:rsidR="00733E4C" w:rsidRPr="00246B65" w:rsidRDefault="00733E4C" w:rsidP="00CE16DE">
            <w:pPr>
              <w:widowControl/>
              <w:jc w:val="left"/>
              <w:rPr>
                <w:rFonts w:ascii="仿宋_GB2312" w:eastAsia="仿宋_GB2312" w:hAnsi="仿宋" w:cstheme="minorBidi"/>
                <w:sz w:val="24"/>
                <w:szCs w:val="24"/>
              </w:rPr>
            </w:pPr>
          </w:p>
        </w:tc>
        <w:tc>
          <w:tcPr>
            <w:tcW w:w="1276" w:type="dxa"/>
            <w:shd w:val="clear" w:color="auto" w:fill="auto"/>
            <w:noWrap/>
            <w:vAlign w:val="center"/>
            <w:hideMark/>
          </w:tcPr>
          <w:p w:rsidR="00733E4C" w:rsidRPr="00246B65"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国家机关办公建筑</w:t>
            </w:r>
          </w:p>
        </w:tc>
        <w:tc>
          <w:tcPr>
            <w:tcW w:w="992" w:type="dxa"/>
            <w:shd w:val="clear" w:color="auto" w:fill="auto"/>
            <w:noWrap/>
            <w:vAlign w:val="center"/>
            <w:hideMark/>
          </w:tcPr>
          <w:p w:rsidR="00733E4C"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办公</w:t>
            </w:r>
          </w:p>
          <w:p w:rsidR="00733E4C" w:rsidRPr="00246B65"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建筑</w:t>
            </w:r>
          </w:p>
        </w:tc>
        <w:tc>
          <w:tcPr>
            <w:tcW w:w="1120" w:type="dxa"/>
            <w:shd w:val="clear" w:color="auto" w:fill="auto"/>
            <w:noWrap/>
            <w:vAlign w:val="center"/>
            <w:hideMark/>
          </w:tcPr>
          <w:p w:rsidR="00733E4C" w:rsidRPr="00246B65"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旅游饭店建筑</w:t>
            </w:r>
          </w:p>
        </w:tc>
        <w:tc>
          <w:tcPr>
            <w:tcW w:w="992" w:type="dxa"/>
            <w:shd w:val="clear" w:color="auto" w:fill="auto"/>
            <w:noWrap/>
            <w:vAlign w:val="center"/>
            <w:hideMark/>
          </w:tcPr>
          <w:p w:rsidR="00733E4C"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商场</w:t>
            </w:r>
          </w:p>
          <w:p w:rsidR="00733E4C" w:rsidRPr="00246B65"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建筑</w:t>
            </w:r>
          </w:p>
        </w:tc>
        <w:tc>
          <w:tcPr>
            <w:tcW w:w="1054" w:type="dxa"/>
            <w:shd w:val="clear" w:color="auto" w:fill="auto"/>
            <w:noWrap/>
            <w:vAlign w:val="center"/>
            <w:hideMark/>
          </w:tcPr>
          <w:p w:rsidR="00733E4C"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综合</w:t>
            </w:r>
          </w:p>
          <w:p w:rsidR="00733E4C" w:rsidRPr="00246B65"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建筑</w:t>
            </w:r>
          </w:p>
        </w:tc>
        <w:tc>
          <w:tcPr>
            <w:tcW w:w="1190" w:type="dxa"/>
            <w:shd w:val="clear" w:color="auto" w:fill="auto"/>
            <w:noWrap/>
            <w:vAlign w:val="center"/>
            <w:hideMark/>
          </w:tcPr>
          <w:p w:rsidR="00733E4C" w:rsidRDefault="00733E4C" w:rsidP="00CE16DE">
            <w:pPr>
              <w:widowControl/>
              <w:jc w:val="center"/>
              <w:rPr>
                <w:rFonts w:ascii="仿宋_GB2312" w:eastAsia="仿宋_GB2312" w:hAnsi="仿宋" w:cstheme="minorBidi"/>
                <w:sz w:val="24"/>
                <w:szCs w:val="24"/>
              </w:rPr>
            </w:pPr>
            <w:r>
              <w:rPr>
                <w:rFonts w:ascii="仿宋_GB2312" w:eastAsia="仿宋_GB2312" w:hAnsi="仿宋" w:cstheme="minorBidi" w:hint="eastAsia"/>
                <w:sz w:val="24"/>
                <w:szCs w:val="24"/>
              </w:rPr>
              <w:t>医疗</w:t>
            </w:r>
            <w:r w:rsidRPr="00246B65">
              <w:rPr>
                <w:rFonts w:ascii="仿宋_GB2312" w:eastAsia="仿宋_GB2312" w:hAnsi="仿宋" w:cstheme="minorBidi" w:hint="eastAsia"/>
                <w:sz w:val="24"/>
                <w:szCs w:val="24"/>
              </w:rPr>
              <w:t>卫生</w:t>
            </w:r>
          </w:p>
          <w:p w:rsidR="00733E4C" w:rsidRPr="00246B65" w:rsidRDefault="00733E4C" w:rsidP="00CE16DE">
            <w:pPr>
              <w:widowControl/>
              <w:jc w:val="center"/>
              <w:rPr>
                <w:rFonts w:ascii="仿宋_GB2312" w:eastAsia="仿宋_GB2312" w:hAnsi="仿宋" w:cstheme="minorBidi"/>
                <w:sz w:val="24"/>
                <w:szCs w:val="24"/>
              </w:rPr>
            </w:pPr>
            <w:r w:rsidRPr="00246B65">
              <w:rPr>
                <w:rFonts w:ascii="仿宋_GB2312" w:eastAsia="仿宋_GB2312" w:hAnsi="仿宋" w:cstheme="minorBidi" w:hint="eastAsia"/>
                <w:sz w:val="24"/>
                <w:szCs w:val="24"/>
              </w:rPr>
              <w:t>建筑</w:t>
            </w:r>
          </w:p>
        </w:tc>
      </w:tr>
      <w:tr w:rsidR="00733E4C" w:rsidRPr="003F334A" w:rsidTr="00B30D92">
        <w:trPr>
          <w:trHeight w:val="280"/>
          <w:jc w:val="center"/>
        </w:trPr>
        <w:tc>
          <w:tcPr>
            <w:tcW w:w="1715" w:type="dxa"/>
            <w:shd w:val="clear" w:color="auto" w:fill="auto"/>
            <w:noWrap/>
            <w:vAlign w:val="center"/>
            <w:hideMark/>
          </w:tcPr>
          <w:p w:rsidR="00CD3289" w:rsidRDefault="00733E4C" w:rsidP="00CD3289">
            <w:pPr>
              <w:widowControl/>
              <w:jc w:val="center"/>
              <w:rPr>
                <w:rFonts w:ascii="仿宋_GB2312" w:eastAsia="仿宋_GB2312" w:hAnsi="仿宋" w:cstheme="minorBidi"/>
                <w:sz w:val="24"/>
                <w:szCs w:val="24"/>
              </w:rPr>
            </w:pPr>
            <w:r>
              <w:rPr>
                <w:rFonts w:ascii="仿宋_GB2312" w:eastAsia="仿宋_GB2312" w:hAnsi="仿宋" w:cstheme="minorBidi" w:hint="eastAsia"/>
                <w:sz w:val="24"/>
                <w:szCs w:val="24"/>
              </w:rPr>
              <w:t>年用电</w:t>
            </w:r>
            <w:r w:rsidR="006E5682">
              <w:rPr>
                <w:rFonts w:ascii="仿宋_GB2312" w:eastAsia="仿宋_GB2312" w:hAnsi="仿宋" w:cstheme="minorBidi" w:hint="eastAsia"/>
                <w:sz w:val="24"/>
                <w:szCs w:val="24"/>
              </w:rPr>
              <w:t>强度</w:t>
            </w:r>
          </w:p>
          <w:p w:rsidR="00733E4C" w:rsidRPr="00AB2DCF" w:rsidRDefault="00733E4C" w:rsidP="00CD3289">
            <w:pPr>
              <w:widowControl/>
              <w:jc w:val="center"/>
              <w:rPr>
                <w:rFonts w:ascii="仿宋_GB2312" w:eastAsia="仿宋_GB2312" w:hAnsi="仿宋" w:cstheme="minorBidi"/>
                <w:sz w:val="24"/>
                <w:szCs w:val="24"/>
              </w:rPr>
            </w:pPr>
            <w:r>
              <w:rPr>
                <w:rFonts w:ascii="仿宋_GB2312" w:eastAsia="仿宋_GB2312" w:hAnsi="仿宋" w:cstheme="minorBidi" w:hint="eastAsia"/>
                <w:sz w:val="24"/>
                <w:szCs w:val="24"/>
              </w:rPr>
              <w:t>合理值</w:t>
            </w:r>
            <w:r w:rsidR="00890987">
              <w:rPr>
                <w:rFonts w:ascii="仿宋_GB2312" w:eastAsia="仿宋_GB2312" w:hAnsi="仿宋" w:cstheme="minorBidi" w:hint="eastAsia"/>
                <w:sz w:val="24"/>
                <w:szCs w:val="24"/>
              </w:rPr>
              <w:t>[</w:t>
            </w:r>
            <w:r w:rsidRPr="00246B65">
              <w:rPr>
                <w:rFonts w:ascii="仿宋_GB2312" w:eastAsia="仿宋_GB2312" w:hAnsi="仿宋" w:cstheme="minorBidi" w:hint="eastAsia"/>
                <w:sz w:val="24"/>
                <w:szCs w:val="24"/>
              </w:rPr>
              <w:t>kW</w:t>
            </w:r>
            <w:r w:rsidRPr="00246B65">
              <w:rPr>
                <w:rFonts w:ascii="仿宋_GB2312" w:eastAsia="仿宋_GB2312" w:hAnsi="仿宋" w:cstheme="minorBidi"/>
                <w:sz w:val="24"/>
                <w:szCs w:val="24"/>
              </w:rPr>
              <w:t>h</w:t>
            </w:r>
            <w:r w:rsidRPr="00246B65">
              <w:rPr>
                <w:rFonts w:ascii="仿宋_GB2312" w:eastAsia="仿宋_GB2312" w:hAnsi="仿宋" w:cstheme="minorBidi" w:hint="eastAsia"/>
                <w:sz w:val="24"/>
                <w:szCs w:val="24"/>
              </w:rPr>
              <w:t>/</w:t>
            </w:r>
            <w:r w:rsidR="00890987">
              <w:rPr>
                <w:rFonts w:ascii="仿宋_GB2312" w:eastAsia="仿宋_GB2312" w:hAnsi="仿宋" w:cstheme="minorBidi"/>
                <w:sz w:val="24"/>
                <w:szCs w:val="24"/>
              </w:rPr>
              <w:t>(</w:t>
            </w:r>
            <w:r w:rsidRPr="00246B65">
              <w:rPr>
                <w:rFonts w:ascii="仿宋_GB2312" w:eastAsia="仿宋_GB2312" w:hAnsi="仿宋" w:cstheme="minorBidi" w:hint="eastAsia"/>
                <w:sz w:val="24"/>
                <w:szCs w:val="24"/>
              </w:rPr>
              <w:t>m</w:t>
            </w:r>
            <w:r w:rsidRPr="009C7B83">
              <w:rPr>
                <w:rFonts w:ascii="仿宋_GB2312" w:eastAsia="仿宋_GB2312" w:hAnsi="仿宋" w:cstheme="minorBidi"/>
                <w:sz w:val="24"/>
                <w:szCs w:val="24"/>
                <w:vertAlign w:val="superscript"/>
              </w:rPr>
              <w:t>2</w:t>
            </w:r>
            <w:r w:rsidR="006E5682">
              <w:rPr>
                <w:rFonts w:ascii="仿宋_GB2312" w:eastAsia="仿宋_GB2312" w:hAnsi="仿宋" w:cstheme="minorBidi" w:hint="eastAsia"/>
                <w:sz w:val="24"/>
                <w:szCs w:val="24"/>
              </w:rPr>
              <w:t>·</w:t>
            </w:r>
            <w:r>
              <w:rPr>
                <w:rFonts w:ascii="仿宋_GB2312" w:eastAsia="仿宋_GB2312" w:hAnsi="仿宋" w:cstheme="minorBidi"/>
                <w:sz w:val="24"/>
                <w:szCs w:val="24"/>
              </w:rPr>
              <w:t>a</w:t>
            </w:r>
            <w:r>
              <w:rPr>
                <w:rFonts w:ascii="仿宋_GB2312" w:eastAsia="仿宋_GB2312" w:hAnsi="仿宋" w:cstheme="minorBidi" w:hint="eastAsia"/>
                <w:sz w:val="24"/>
                <w:szCs w:val="24"/>
              </w:rPr>
              <w:t>）</w:t>
            </w:r>
            <w:r w:rsidR="00890987">
              <w:rPr>
                <w:rFonts w:ascii="仿宋_GB2312" w:eastAsia="仿宋_GB2312" w:hAnsi="仿宋" w:cstheme="minorBidi"/>
                <w:sz w:val="24"/>
                <w:szCs w:val="24"/>
              </w:rPr>
              <w:t>]</w:t>
            </w:r>
          </w:p>
        </w:tc>
        <w:tc>
          <w:tcPr>
            <w:tcW w:w="1276" w:type="dxa"/>
            <w:shd w:val="clear" w:color="auto" w:fill="auto"/>
            <w:noWrap/>
            <w:vAlign w:val="center"/>
            <w:hideMark/>
          </w:tcPr>
          <w:p w:rsidR="00733E4C" w:rsidRPr="00246B65" w:rsidRDefault="006E5682" w:rsidP="00CD37E6">
            <w:pPr>
              <w:widowControl/>
              <w:jc w:val="center"/>
              <w:rPr>
                <w:rFonts w:ascii="仿宋_GB2312" w:eastAsia="仿宋_GB2312" w:hAnsi="仿宋" w:cstheme="minorBidi"/>
                <w:sz w:val="24"/>
                <w:szCs w:val="24"/>
              </w:rPr>
            </w:pPr>
            <w:r>
              <w:rPr>
                <w:rFonts w:ascii="仿宋_GB2312" w:eastAsia="仿宋_GB2312" w:hAnsi="仿宋" w:cstheme="minorBidi"/>
                <w:sz w:val="24"/>
                <w:szCs w:val="24"/>
              </w:rPr>
              <w:t>109</w:t>
            </w:r>
          </w:p>
        </w:tc>
        <w:tc>
          <w:tcPr>
            <w:tcW w:w="992" w:type="dxa"/>
            <w:shd w:val="clear" w:color="auto" w:fill="auto"/>
            <w:noWrap/>
            <w:vAlign w:val="center"/>
            <w:hideMark/>
          </w:tcPr>
          <w:p w:rsidR="00733E4C" w:rsidRPr="00246B65" w:rsidRDefault="006E5682" w:rsidP="00CD37E6">
            <w:pPr>
              <w:widowControl/>
              <w:jc w:val="center"/>
              <w:rPr>
                <w:rFonts w:ascii="仿宋_GB2312" w:eastAsia="仿宋_GB2312" w:hAnsi="仿宋" w:cstheme="minorBidi"/>
                <w:sz w:val="24"/>
                <w:szCs w:val="24"/>
              </w:rPr>
            </w:pPr>
            <w:r>
              <w:rPr>
                <w:rFonts w:ascii="仿宋_GB2312" w:eastAsia="仿宋_GB2312" w:hAnsi="仿宋" w:cstheme="minorBidi"/>
                <w:sz w:val="24"/>
                <w:szCs w:val="24"/>
              </w:rPr>
              <w:t>115</w:t>
            </w:r>
          </w:p>
        </w:tc>
        <w:tc>
          <w:tcPr>
            <w:tcW w:w="1120" w:type="dxa"/>
            <w:shd w:val="clear" w:color="auto" w:fill="auto"/>
            <w:noWrap/>
            <w:vAlign w:val="center"/>
            <w:hideMark/>
          </w:tcPr>
          <w:p w:rsidR="00733E4C" w:rsidRPr="00246B65" w:rsidRDefault="006E5682" w:rsidP="00CD37E6">
            <w:pPr>
              <w:widowControl/>
              <w:jc w:val="center"/>
              <w:rPr>
                <w:rFonts w:ascii="仿宋_GB2312" w:eastAsia="仿宋_GB2312" w:hAnsi="仿宋" w:cstheme="minorBidi"/>
                <w:sz w:val="24"/>
                <w:szCs w:val="24"/>
              </w:rPr>
            </w:pPr>
            <w:r>
              <w:rPr>
                <w:rFonts w:ascii="仿宋_GB2312" w:eastAsia="仿宋_GB2312" w:hAnsi="仿宋" w:cstheme="minorBidi"/>
                <w:sz w:val="24"/>
                <w:szCs w:val="24"/>
              </w:rPr>
              <w:t>166</w:t>
            </w:r>
          </w:p>
        </w:tc>
        <w:tc>
          <w:tcPr>
            <w:tcW w:w="992" w:type="dxa"/>
            <w:shd w:val="clear" w:color="auto" w:fill="auto"/>
            <w:noWrap/>
            <w:vAlign w:val="center"/>
            <w:hideMark/>
          </w:tcPr>
          <w:p w:rsidR="00733E4C" w:rsidRPr="00246B65" w:rsidRDefault="006E5682" w:rsidP="00CD37E6">
            <w:pPr>
              <w:widowControl/>
              <w:jc w:val="center"/>
              <w:rPr>
                <w:rFonts w:ascii="仿宋_GB2312" w:eastAsia="仿宋_GB2312" w:hAnsi="仿宋" w:cstheme="minorBidi"/>
                <w:sz w:val="24"/>
                <w:szCs w:val="24"/>
              </w:rPr>
            </w:pPr>
            <w:r>
              <w:rPr>
                <w:rFonts w:ascii="仿宋_GB2312" w:eastAsia="仿宋_GB2312" w:hAnsi="仿宋" w:cstheme="minorBidi"/>
                <w:sz w:val="24"/>
                <w:szCs w:val="24"/>
              </w:rPr>
              <w:t>209</w:t>
            </w:r>
          </w:p>
        </w:tc>
        <w:tc>
          <w:tcPr>
            <w:tcW w:w="1054" w:type="dxa"/>
            <w:shd w:val="clear" w:color="auto" w:fill="auto"/>
            <w:noWrap/>
            <w:vAlign w:val="center"/>
            <w:hideMark/>
          </w:tcPr>
          <w:p w:rsidR="00733E4C" w:rsidRPr="00246B65" w:rsidRDefault="006E5682" w:rsidP="00CD37E6">
            <w:pPr>
              <w:widowControl/>
              <w:jc w:val="center"/>
              <w:rPr>
                <w:rFonts w:ascii="仿宋_GB2312" w:eastAsia="仿宋_GB2312" w:hAnsi="仿宋" w:cstheme="minorBidi"/>
                <w:sz w:val="24"/>
                <w:szCs w:val="24"/>
              </w:rPr>
            </w:pPr>
            <w:r>
              <w:rPr>
                <w:rFonts w:ascii="仿宋_GB2312" w:eastAsia="仿宋_GB2312" w:hAnsi="仿宋" w:cstheme="minorBidi"/>
                <w:sz w:val="24"/>
                <w:szCs w:val="24"/>
              </w:rPr>
              <w:t>126</w:t>
            </w:r>
          </w:p>
        </w:tc>
        <w:tc>
          <w:tcPr>
            <w:tcW w:w="1190" w:type="dxa"/>
            <w:shd w:val="clear" w:color="auto" w:fill="auto"/>
            <w:noWrap/>
            <w:vAlign w:val="center"/>
            <w:hideMark/>
          </w:tcPr>
          <w:p w:rsidR="00733E4C" w:rsidRPr="00246B65" w:rsidRDefault="006E5682" w:rsidP="00CD37E6">
            <w:pPr>
              <w:widowControl/>
              <w:jc w:val="center"/>
              <w:rPr>
                <w:rFonts w:ascii="仿宋_GB2312" w:eastAsia="仿宋_GB2312" w:hAnsi="仿宋" w:cstheme="minorBidi"/>
                <w:sz w:val="24"/>
                <w:szCs w:val="24"/>
              </w:rPr>
            </w:pPr>
            <w:r>
              <w:rPr>
                <w:rFonts w:ascii="仿宋_GB2312" w:eastAsia="仿宋_GB2312" w:hAnsi="仿宋" w:cstheme="minorBidi"/>
                <w:sz w:val="24"/>
                <w:szCs w:val="24"/>
              </w:rPr>
              <w:t>199</w:t>
            </w:r>
          </w:p>
        </w:tc>
      </w:tr>
    </w:tbl>
    <w:p w:rsidR="00A36B13" w:rsidRPr="00A36B13" w:rsidRDefault="00A36B13" w:rsidP="00DB66EC">
      <w:pPr>
        <w:pStyle w:val="3"/>
        <w:spacing w:beforeLines="50" w:after="0" w:line="415" w:lineRule="auto"/>
        <w:rPr>
          <w:rFonts w:ascii="黑体" w:eastAsia="黑体" w:hAnsi="黑体" w:cstheme="minorBidi"/>
          <w:bCs w:val="0"/>
          <w:sz w:val="30"/>
          <w:szCs w:val="30"/>
        </w:rPr>
      </w:pPr>
      <w:bookmarkStart w:id="20" w:name="_Toc479753012"/>
      <w:r w:rsidRPr="00A36B13">
        <w:rPr>
          <w:rFonts w:ascii="黑体" w:eastAsia="黑体" w:hAnsi="黑体" w:cstheme="minorBidi" w:hint="eastAsia"/>
          <w:bCs w:val="0"/>
          <w:sz w:val="30"/>
          <w:szCs w:val="30"/>
        </w:rPr>
        <w:t>2、</w:t>
      </w:r>
      <w:r w:rsidR="00615F24">
        <w:rPr>
          <w:rFonts w:ascii="黑体" w:eastAsia="黑体" w:hAnsi="黑体" w:cstheme="minorBidi" w:hint="eastAsia"/>
          <w:bCs w:val="0"/>
          <w:sz w:val="30"/>
          <w:szCs w:val="30"/>
        </w:rPr>
        <w:t>主要</w:t>
      </w:r>
      <w:r w:rsidRPr="00A36B13">
        <w:rPr>
          <w:rFonts w:ascii="黑体" w:eastAsia="黑体" w:hAnsi="黑体" w:cstheme="minorBidi" w:hint="eastAsia"/>
          <w:bCs w:val="0"/>
          <w:sz w:val="30"/>
          <w:szCs w:val="30"/>
        </w:rPr>
        <w:t>类型建筑</w:t>
      </w:r>
      <w:r w:rsidR="00615F24">
        <w:rPr>
          <w:rFonts w:ascii="黑体" w:eastAsia="黑体" w:hAnsi="黑体" w:cstheme="minorBidi" w:hint="eastAsia"/>
          <w:bCs w:val="0"/>
          <w:sz w:val="30"/>
          <w:szCs w:val="30"/>
        </w:rPr>
        <w:t>历年</w:t>
      </w:r>
      <w:r w:rsidRPr="00A36B13">
        <w:rPr>
          <w:rFonts w:ascii="黑体" w:eastAsia="黑体" w:hAnsi="黑体" w:cstheme="minorBidi" w:hint="eastAsia"/>
          <w:bCs w:val="0"/>
          <w:sz w:val="30"/>
          <w:szCs w:val="30"/>
        </w:rPr>
        <w:t>用电</w:t>
      </w:r>
      <w:r w:rsidR="00615F24">
        <w:rPr>
          <w:rFonts w:ascii="黑体" w:eastAsia="黑体" w:hAnsi="黑体" w:cstheme="minorBidi" w:hint="eastAsia"/>
          <w:bCs w:val="0"/>
          <w:sz w:val="30"/>
          <w:szCs w:val="30"/>
        </w:rPr>
        <w:t>强度</w:t>
      </w:r>
      <w:r w:rsidRPr="00A36B13">
        <w:rPr>
          <w:rFonts w:ascii="黑体" w:eastAsia="黑体" w:hAnsi="黑体" w:cstheme="minorBidi" w:hint="eastAsia"/>
          <w:bCs w:val="0"/>
          <w:sz w:val="30"/>
          <w:szCs w:val="30"/>
        </w:rPr>
        <w:t>变化情况</w:t>
      </w:r>
      <w:bookmarkEnd w:id="20"/>
    </w:p>
    <w:p w:rsidR="00A36B13" w:rsidRDefault="00BA4AA6" w:rsidP="00E82E10">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从过去3</w:t>
      </w:r>
      <w:r w:rsidR="0046354C">
        <w:rPr>
          <w:rFonts w:ascii="仿宋_GB2312" w:eastAsia="仿宋_GB2312" w:hAnsi="仿宋" w:cstheme="minorBidi" w:hint="eastAsia"/>
          <w:sz w:val="30"/>
          <w:szCs w:val="30"/>
        </w:rPr>
        <w:t>年</w:t>
      </w:r>
      <w:r w:rsidR="00223998">
        <w:rPr>
          <w:rFonts w:ascii="仿宋_GB2312" w:eastAsia="仿宋_GB2312" w:hAnsi="仿宋" w:cstheme="minorBidi" w:hint="eastAsia"/>
          <w:sz w:val="30"/>
          <w:szCs w:val="30"/>
        </w:rPr>
        <w:t>主要</w:t>
      </w:r>
      <w:r w:rsidR="0036698B">
        <w:rPr>
          <w:rFonts w:ascii="仿宋_GB2312" w:eastAsia="仿宋_GB2312" w:hAnsi="仿宋" w:cstheme="minorBidi" w:hint="eastAsia"/>
          <w:sz w:val="30"/>
          <w:szCs w:val="30"/>
        </w:rPr>
        <w:t>类型建筑用电强度变化情况来看</w:t>
      </w:r>
      <w:r w:rsidR="00DD1A07">
        <w:rPr>
          <w:rFonts w:ascii="仿宋_GB2312" w:eastAsia="仿宋_GB2312" w:hAnsi="仿宋" w:cstheme="minorBidi" w:hint="eastAsia"/>
          <w:sz w:val="30"/>
          <w:szCs w:val="30"/>
        </w:rPr>
        <w:t>（</w:t>
      </w:r>
      <w:r w:rsidR="00CD3289" w:rsidRPr="00CD3289">
        <w:rPr>
          <w:rFonts w:ascii="仿宋_GB2312" w:eastAsia="仿宋_GB2312" w:hAnsi="仿宋" w:cstheme="minorBidi" w:hint="eastAsia"/>
          <w:sz w:val="30"/>
          <w:szCs w:val="30"/>
        </w:rPr>
        <w:t>如</w:t>
      </w:r>
      <w:r w:rsidR="00DD1A07" w:rsidRPr="00CD3289">
        <w:rPr>
          <w:rFonts w:ascii="仿宋_GB2312" w:eastAsia="仿宋_GB2312" w:hAnsi="仿宋" w:cstheme="minorBidi" w:hint="eastAsia"/>
          <w:sz w:val="30"/>
          <w:szCs w:val="30"/>
        </w:rPr>
        <w:t>图</w:t>
      </w:r>
      <w:r w:rsidR="00DD1A07" w:rsidRPr="00CD3289">
        <w:rPr>
          <w:rFonts w:ascii="仿宋_GB2312" w:eastAsia="仿宋_GB2312" w:hAnsi="仿宋" w:cstheme="minorBidi"/>
          <w:sz w:val="30"/>
          <w:szCs w:val="30"/>
        </w:rPr>
        <w:t>15</w:t>
      </w:r>
      <w:r w:rsidR="00CD3289" w:rsidRPr="00CD3289">
        <w:rPr>
          <w:rFonts w:ascii="仿宋_GB2312" w:eastAsia="仿宋_GB2312" w:hAnsi="仿宋" w:cstheme="minorBidi" w:hint="eastAsia"/>
          <w:sz w:val="30"/>
          <w:szCs w:val="30"/>
        </w:rPr>
        <w:t>所示</w:t>
      </w:r>
      <w:r w:rsidR="00DD1A07">
        <w:rPr>
          <w:rFonts w:ascii="仿宋_GB2312" w:eastAsia="仿宋_GB2312" w:hAnsi="仿宋" w:cstheme="minorBidi" w:hint="eastAsia"/>
          <w:sz w:val="30"/>
          <w:szCs w:val="30"/>
        </w:rPr>
        <w:t>）</w:t>
      </w:r>
      <w:r w:rsidR="0036698B">
        <w:rPr>
          <w:rFonts w:ascii="仿宋_GB2312" w:eastAsia="仿宋_GB2312" w:hAnsi="仿宋" w:cstheme="minorBidi" w:hint="eastAsia"/>
          <w:sz w:val="30"/>
          <w:szCs w:val="30"/>
        </w:rPr>
        <w:t>，</w:t>
      </w:r>
      <w:r w:rsidR="00DD1A07">
        <w:rPr>
          <w:rFonts w:ascii="仿宋_GB2312" w:eastAsia="仿宋_GB2312" w:hAnsi="仿宋" w:cstheme="minorBidi" w:hint="eastAsia"/>
          <w:sz w:val="30"/>
          <w:szCs w:val="30"/>
        </w:rPr>
        <w:t>总体</w:t>
      </w:r>
      <w:r w:rsidR="0036698B">
        <w:rPr>
          <w:rFonts w:ascii="仿宋_GB2312" w:eastAsia="仿宋_GB2312" w:hAnsi="仿宋" w:cstheme="minorBidi" w:hint="eastAsia"/>
          <w:sz w:val="30"/>
          <w:szCs w:val="30"/>
        </w:rPr>
        <w:t>呈现U字型变化趋势，这一定程度上和气温变化有关，</w:t>
      </w:r>
      <w:r w:rsidR="00DD1A07">
        <w:rPr>
          <w:rFonts w:ascii="仿宋_GB2312" w:eastAsia="仿宋_GB2312" w:hAnsi="仿宋" w:cstheme="minorBidi" w:hint="eastAsia"/>
          <w:sz w:val="30"/>
          <w:szCs w:val="30"/>
        </w:rPr>
        <w:t>3年</w:t>
      </w:r>
      <w:r w:rsidR="00DD1A07">
        <w:rPr>
          <w:rFonts w:ascii="仿宋_GB2312" w:eastAsia="仿宋_GB2312" w:hAnsi="仿宋" w:cstheme="minorBidi"/>
          <w:sz w:val="30"/>
          <w:szCs w:val="30"/>
        </w:rPr>
        <w:t>中</w:t>
      </w:r>
      <w:r w:rsidR="0036698B">
        <w:rPr>
          <w:rFonts w:ascii="仿宋_GB2312" w:eastAsia="仿宋_GB2312" w:hAnsi="仿宋" w:cstheme="minorBidi" w:hint="eastAsia"/>
          <w:sz w:val="30"/>
          <w:szCs w:val="30"/>
        </w:rPr>
        <w:t>2015年平均气温最低</w:t>
      </w:r>
      <w:r w:rsidR="00364713">
        <w:rPr>
          <w:rFonts w:ascii="仿宋_GB2312" w:eastAsia="仿宋_GB2312" w:hAnsi="仿宋" w:cstheme="minorBidi" w:hint="eastAsia"/>
          <w:sz w:val="30"/>
          <w:szCs w:val="30"/>
        </w:rPr>
        <w:t>。</w:t>
      </w:r>
      <w:r w:rsidR="00DD1A07">
        <w:rPr>
          <w:rFonts w:ascii="仿宋_GB2312" w:eastAsia="仿宋_GB2312" w:hAnsi="仿宋" w:cstheme="minorBidi" w:hint="eastAsia"/>
          <w:sz w:val="30"/>
          <w:szCs w:val="30"/>
        </w:rPr>
        <w:t>从</w:t>
      </w:r>
      <w:r w:rsidR="00DD1A07">
        <w:rPr>
          <w:rFonts w:ascii="仿宋_GB2312" w:eastAsia="仿宋_GB2312" w:hAnsi="仿宋" w:cstheme="minorBidi"/>
          <w:sz w:val="30"/>
          <w:szCs w:val="30"/>
        </w:rPr>
        <w:t>图中可见，</w:t>
      </w:r>
      <w:r w:rsidR="002B4853">
        <w:rPr>
          <w:rFonts w:ascii="仿宋_GB2312" w:eastAsia="仿宋_GB2312" w:hAnsi="仿宋" w:cstheme="minorBidi" w:hint="eastAsia"/>
          <w:sz w:val="30"/>
          <w:szCs w:val="30"/>
        </w:rPr>
        <w:t>旅游饭店建筑</w:t>
      </w:r>
      <w:r w:rsidR="0036698B">
        <w:rPr>
          <w:rFonts w:ascii="仿宋_GB2312" w:eastAsia="仿宋_GB2312" w:hAnsi="仿宋" w:cstheme="minorBidi" w:hint="eastAsia"/>
          <w:sz w:val="30"/>
          <w:szCs w:val="30"/>
        </w:rPr>
        <w:lastRenderedPageBreak/>
        <w:t>2014</w:t>
      </w:r>
      <w:r w:rsidR="00CD3289">
        <w:rPr>
          <w:rFonts w:ascii="仿宋" w:eastAsia="仿宋" w:hAnsi="仿宋" w:cstheme="minorBidi" w:hint="eastAsia"/>
          <w:sz w:val="30"/>
          <w:szCs w:val="30"/>
        </w:rPr>
        <w:t>～</w:t>
      </w:r>
      <w:r w:rsidR="0036698B">
        <w:rPr>
          <w:rFonts w:ascii="仿宋_GB2312" w:eastAsia="仿宋_GB2312" w:hAnsi="仿宋" w:cstheme="minorBidi"/>
          <w:sz w:val="30"/>
          <w:szCs w:val="30"/>
        </w:rPr>
        <w:t>2015</w:t>
      </w:r>
      <w:r w:rsidR="002B4853">
        <w:rPr>
          <w:rFonts w:ascii="仿宋_GB2312" w:eastAsia="仿宋_GB2312" w:hAnsi="仿宋" w:cstheme="minorBidi" w:hint="eastAsia"/>
          <w:sz w:val="30"/>
          <w:szCs w:val="30"/>
        </w:rPr>
        <w:t>年</w:t>
      </w:r>
      <w:r w:rsidR="00470931">
        <w:rPr>
          <w:rFonts w:ascii="仿宋_GB2312" w:eastAsia="仿宋_GB2312" w:hAnsi="仿宋" w:cstheme="minorBidi" w:hint="eastAsia"/>
          <w:sz w:val="30"/>
          <w:szCs w:val="30"/>
        </w:rPr>
        <w:t>单位面积</w:t>
      </w:r>
      <w:r w:rsidR="0036698B">
        <w:rPr>
          <w:rFonts w:ascii="仿宋_GB2312" w:eastAsia="仿宋_GB2312" w:hAnsi="仿宋" w:cstheme="minorBidi" w:hint="eastAsia"/>
          <w:sz w:val="30"/>
          <w:szCs w:val="30"/>
        </w:rPr>
        <w:t>年</w:t>
      </w:r>
      <w:r w:rsidR="008D7609">
        <w:rPr>
          <w:rFonts w:ascii="仿宋_GB2312" w:eastAsia="仿宋_GB2312" w:hAnsi="仿宋" w:cstheme="minorBidi" w:hint="eastAsia"/>
          <w:sz w:val="30"/>
          <w:szCs w:val="30"/>
        </w:rPr>
        <w:t>平均</w:t>
      </w:r>
      <w:r w:rsidR="00470931">
        <w:rPr>
          <w:rFonts w:ascii="仿宋_GB2312" w:eastAsia="仿宋_GB2312" w:hAnsi="仿宋" w:cstheme="minorBidi" w:hint="eastAsia"/>
          <w:sz w:val="30"/>
          <w:szCs w:val="30"/>
        </w:rPr>
        <w:t>用电量</w:t>
      </w:r>
      <w:r w:rsidR="0036698B">
        <w:rPr>
          <w:rFonts w:ascii="仿宋_GB2312" w:eastAsia="仿宋_GB2312" w:hAnsi="仿宋" w:cstheme="minorBidi" w:hint="eastAsia"/>
          <w:sz w:val="30"/>
          <w:szCs w:val="30"/>
        </w:rPr>
        <w:t>呈逐年增长趋势，2015年</w:t>
      </w:r>
      <w:r w:rsidR="00722347">
        <w:rPr>
          <w:rFonts w:ascii="仿宋_GB2312" w:eastAsia="仿宋_GB2312" w:hAnsi="仿宋" w:cstheme="minorBidi" w:hint="eastAsia"/>
          <w:sz w:val="30"/>
          <w:szCs w:val="30"/>
        </w:rPr>
        <w:t>较2014年增长</w:t>
      </w:r>
      <w:r w:rsidR="00A45D95">
        <w:rPr>
          <w:rFonts w:ascii="仿宋_GB2312" w:eastAsia="仿宋_GB2312" w:hAnsi="仿宋" w:cstheme="minorBidi" w:hint="eastAsia"/>
          <w:sz w:val="30"/>
          <w:szCs w:val="30"/>
        </w:rPr>
        <w:t>14</w:t>
      </w:r>
      <w:r w:rsidR="00722347">
        <w:rPr>
          <w:rFonts w:ascii="仿宋_GB2312" w:eastAsia="仿宋_GB2312" w:hAnsi="仿宋" w:cstheme="minorBidi" w:hint="eastAsia"/>
          <w:sz w:val="30"/>
          <w:szCs w:val="30"/>
        </w:rPr>
        <w:t>％</w:t>
      </w:r>
      <w:r w:rsidR="0036698B">
        <w:rPr>
          <w:rFonts w:ascii="仿宋_GB2312" w:eastAsia="仿宋_GB2312" w:hAnsi="仿宋" w:cstheme="minorBidi" w:hint="eastAsia"/>
          <w:sz w:val="30"/>
          <w:szCs w:val="30"/>
        </w:rPr>
        <w:t>，2016年较2015年增长3％，</w:t>
      </w:r>
      <w:r w:rsidR="00997A2D">
        <w:rPr>
          <w:rFonts w:ascii="仿宋_GB2312" w:eastAsia="仿宋_GB2312" w:hAnsi="仿宋" w:cstheme="minorBidi" w:hint="eastAsia"/>
          <w:sz w:val="30"/>
          <w:szCs w:val="30"/>
        </w:rPr>
        <w:t>究其原因，</w:t>
      </w:r>
      <w:r w:rsidR="00DD1A07">
        <w:rPr>
          <w:rFonts w:ascii="仿宋_GB2312" w:eastAsia="仿宋_GB2312" w:hAnsi="仿宋" w:cstheme="minorBidi" w:hint="eastAsia"/>
          <w:sz w:val="30"/>
          <w:szCs w:val="30"/>
        </w:rPr>
        <w:t>近</w:t>
      </w:r>
      <w:r w:rsidR="00DD1A07">
        <w:rPr>
          <w:rFonts w:ascii="仿宋_GB2312" w:eastAsia="仿宋_GB2312" w:hAnsi="仿宋" w:cstheme="minorBidi"/>
          <w:sz w:val="30"/>
          <w:szCs w:val="30"/>
        </w:rPr>
        <w:t>几年来</w:t>
      </w:r>
      <w:r w:rsidR="00997A2D">
        <w:rPr>
          <w:rFonts w:ascii="仿宋_GB2312" w:eastAsia="仿宋_GB2312" w:hAnsi="仿宋" w:cstheme="minorBidi" w:hint="eastAsia"/>
          <w:sz w:val="30"/>
          <w:szCs w:val="30"/>
        </w:rPr>
        <w:t>本市众多旅游饭店建筑进行了节能改造，用油、用气设备被用电设备替代，建筑用能中用电量占比明显提高，</w:t>
      </w:r>
      <w:r w:rsidR="00727FAC">
        <w:rPr>
          <w:rFonts w:ascii="仿宋_GB2312" w:eastAsia="仿宋_GB2312" w:hAnsi="仿宋" w:cstheme="minorBidi" w:hint="eastAsia"/>
          <w:sz w:val="30"/>
          <w:szCs w:val="30"/>
        </w:rPr>
        <w:t>故</w:t>
      </w:r>
      <w:r w:rsidR="00A45D95">
        <w:rPr>
          <w:rFonts w:ascii="仿宋_GB2312" w:eastAsia="仿宋_GB2312" w:hAnsi="仿宋" w:cstheme="minorBidi" w:hint="eastAsia"/>
          <w:sz w:val="30"/>
          <w:szCs w:val="30"/>
        </w:rPr>
        <w:t>用电量呈现上升趋势</w:t>
      </w:r>
      <w:r w:rsidR="00722347">
        <w:rPr>
          <w:rFonts w:ascii="仿宋_GB2312" w:eastAsia="仿宋_GB2312" w:hAnsi="仿宋" w:cstheme="minorBidi" w:hint="eastAsia"/>
          <w:sz w:val="30"/>
          <w:szCs w:val="30"/>
        </w:rPr>
        <w:t>；商场建筑2016年</w:t>
      </w:r>
      <w:r w:rsidR="00901FA3">
        <w:rPr>
          <w:rFonts w:ascii="仿宋_GB2312" w:eastAsia="仿宋_GB2312" w:hAnsi="仿宋" w:cstheme="minorBidi" w:hint="eastAsia"/>
          <w:sz w:val="30"/>
          <w:szCs w:val="30"/>
        </w:rPr>
        <w:t>受</w:t>
      </w:r>
      <w:r w:rsidR="00DD1A07">
        <w:rPr>
          <w:rFonts w:ascii="仿宋_GB2312" w:eastAsia="仿宋_GB2312" w:hAnsi="仿宋" w:cstheme="minorBidi" w:hint="eastAsia"/>
          <w:sz w:val="30"/>
          <w:szCs w:val="30"/>
        </w:rPr>
        <w:t>高温</w:t>
      </w:r>
      <w:r w:rsidR="00DD1A07">
        <w:rPr>
          <w:rFonts w:ascii="仿宋_GB2312" w:eastAsia="仿宋_GB2312" w:hAnsi="仿宋" w:cstheme="minorBidi"/>
          <w:sz w:val="30"/>
          <w:szCs w:val="30"/>
        </w:rPr>
        <w:t>天气的</w:t>
      </w:r>
      <w:r w:rsidR="00901FA3">
        <w:rPr>
          <w:rFonts w:ascii="仿宋_GB2312" w:eastAsia="仿宋_GB2312" w:hAnsi="仿宋" w:cstheme="minorBidi" w:hint="eastAsia"/>
          <w:sz w:val="30"/>
          <w:szCs w:val="30"/>
        </w:rPr>
        <w:t>影响，</w:t>
      </w:r>
      <w:r w:rsidR="00A45D95">
        <w:rPr>
          <w:rFonts w:ascii="仿宋_GB2312" w:eastAsia="仿宋_GB2312" w:hAnsi="仿宋" w:cstheme="minorBidi" w:hint="eastAsia"/>
          <w:sz w:val="30"/>
          <w:szCs w:val="30"/>
        </w:rPr>
        <w:t>单位面积年</w:t>
      </w:r>
      <w:r w:rsidR="008D7609">
        <w:rPr>
          <w:rFonts w:ascii="仿宋_GB2312" w:eastAsia="仿宋_GB2312" w:hAnsi="仿宋" w:cstheme="minorBidi" w:hint="eastAsia"/>
          <w:sz w:val="30"/>
          <w:szCs w:val="30"/>
        </w:rPr>
        <w:t>平均</w:t>
      </w:r>
      <w:r w:rsidR="00A45D95">
        <w:rPr>
          <w:rFonts w:ascii="仿宋_GB2312" w:eastAsia="仿宋_GB2312" w:hAnsi="仿宋" w:cstheme="minorBidi" w:hint="eastAsia"/>
          <w:sz w:val="30"/>
          <w:szCs w:val="30"/>
        </w:rPr>
        <w:t>用电量虽然</w:t>
      </w:r>
      <w:r w:rsidR="00722347">
        <w:rPr>
          <w:rFonts w:ascii="仿宋_GB2312" w:eastAsia="仿宋_GB2312" w:hAnsi="仿宋" w:cstheme="minorBidi" w:hint="eastAsia"/>
          <w:sz w:val="30"/>
          <w:szCs w:val="30"/>
        </w:rPr>
        <w:t>较2015</w:t>
      </w:r>
      <w:r w:rsidR="00A45D95">
        <w:rPr>
          <w:rFonts w:ascii="仿宋_GB2312" w:eastAsia="仿宋_GB2312" w:hAnsi="仿宋" w:cstheme="minorBidi" w:hint="eastAsia"/>
          <w:sz w:val="30"/>
          <w:szCs w:val="30"/>
        </w:rPr>
        <w:t>年</w:t>
      </w:r>
      <w:r w:rsidR="00722347">
        <w:rPr>
          <w:rFonts w:ascii="仿宋_GB2312" w:eastAsia="仿宋_GB2312" w:hAnsi="仿宋" w:cstheme="minorBidi" w:hint="eastAsia"/>
          <w:sz w:val="30"/>
          <w:szCs w:val="30"/>
        </w:rPr>
        <w:t>增长</w:t>
      </w:r>
      <w:r w:rsidR="00A45D95">
        <w:rPr>
          <w:rFonts w:ascii="仿宋_GB2312" w:eastAsia="仿宋_GB2312" w:hAnsi="仿宋" w:cstheme="minorBidi" w:hint="eastAsia"/>
          <w:sz w:val="30"/>
          <w:szCs w:val="30"/>
        </w:rPr>
        <w:t>了</w:t>
      </w:r>
      <w:r w:rsidR="00722347">
        <w:rPr>
          <w:rFonts w:ascii="仿宋_GB2312" w:eastAsia="仿宋_GB2312" w:hAnsi="仿宋" w:cstheme="minorBidi" w:hint="eastAsia"/>
          <w:sz w:val="30"/>
          <w:szCs w:val="30"/>
        </w:rPr>
        <w:t>4％，</w:t>
      </w:r>
      <w:r w:rsidR="00A45D95">
        <w:rPr>
          <w:rFonts w:ascii="仿宋_GB2312" w:eastAsia="仿宋_GB2312" w:hAnsi="仿宋" w:cstheme="minorBidi" w:hint="eastAsia"/>
          <w:sz w:val="30"/>
          <w:szCs w:val="30"/>
        </w:rPr>
        <w:t>但</w:t>
      </w:r>
      <w:r w:rsidR="00DD1A07">
        <w:rPr>
          <w:rFonts w:ascii="仿宋_GB2312" w:eastAsia="仿宋_GB2312" w:hAnsi="仿宋" w:cstheme="minorBidi" w:hint="eastAsia"/>
          <w:sz w:val="30"/>
          <w:szCs w:val="30"/>
        </w:rPr>
        <w:t>与2014年</w:t>
      </w:r>
      <w:r w:rsidR="00DD1A07">
        <w:rPr>
          <w:rFonts w:ascii="仿宋_GB2312" w:eastAsia="仿宋_GB2312" w:hAnsi="仿宋" w:cstheme="minorBidi"/>
          <w:sz w:val="30"/>
          <w:szCs w:val="30"/>
        </w:rPr>
        <w:t>相比，</w:t>
      </w:r>
      <w:r w:rsidR="00901FA3">
        <w:rPr>
          <w:rFonts w:ascii="仿宋_GB2312" w:eastAsia="仿宋_GB2312" w:hAnsi="仿宋" w:cstheme="minorBidi" w:hint="eastAsia"/>
          <w:sz w:val="30"/>
          <w:szCs w:val="30"/>
        </w:rPr>
        <w:t>2016年和2015年单位面积年平均用电量</w:t>
      </w:r>
      <w:r w:rsidR="00DD1A07">
        <w:rPr>
          <w:rFonts w:ascii="仿宋_GB2312" w:eastAsia="仿宋_GB2312" w:hAnsi="仿宋" w:cstheme="minorBidi" w:hint="eastAsia"/>
          <w:sz w:val="30"/>
          <w:szCs w:val="30"/>
        </w:rPr>
        <w:t>均有</w:t>
      </w:r>
      <w:r w:rsidR="00DD1A07">
        <w:rPr>
          <w:rFonts w:ascii="仿宋_GB2312" w:eastAsia="仿宋_GB2312" w:hAnsi="仿宋" w:cstheme="minorBidi"/>
          <w:sz w:val="30"/>
          <w:szCs w:val="30"/>
        </w:rPr>
        <w:t>明显</w:t>
      </w:r>
      <w:r w:rsidR="00722347">
        <w:rPr>
          <w:rFonts w:ascii="仿宋_GB2312" w:eastAsia="仿宋_GB2312" w:hAnsi="仿宋" w:cstheme="minorBidi" w:hint="eastAsia"/>
          <w:sz w:val="30"/>
          <w:szCs w:val="30"/>
        </w:rPr>
        <w:t>下降</w:t>
      </w:r>
      <w:r w:rsidR="00A45D95">
        <w:rPr>
          <w:rFonts w:ascii="仿宋_GB2312" w:eastAsia="仿宋_GB2312" w:hAnsi="仿宋" w:cstheme="minorBidi" w:hint="eastAsia"/>
          <w:sz w:val="30"/>
          <w:szCs w:val="30"/>
        </w:rPr>
        <w:t>，一定程度上是由于实体商业转型等综合因素造成的。</w:t>
      </w:r>
    </w:p>
    <w:p w:rsidR="00CD3289" w:rsidRDefault="00BB3ECE" w:rsidP="00CD3289">
      <w:pPr>
        <w:jc w:val="center"/>
        <w:rPr>
          <w:rFonts w:ascii="仿宋_GB2312" w:eastAsia="仿宋_GB2312" w:hAnsi="仿宋" w:cstheme="minorBidi"/>
          <w:sz w:val="30"/>
          <w:szCs w:val="30"/>
        </w:rPr>
      </w:pPr>
      <w:r>
        <w:rPr>
          <w:noProof/>
        </w:rPr>
        <w:drawing>
          <wp:inline distT="0" distB="0" distL="0" distR="0">
            <wp:extent cx="5194300" cy="2584450"/>
            <wp:effectExtent l="0" t="0" r="6350" b="6350"/>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12CA6" w:rsidRDefault="000C1565" w:rsidP="00712CA6">
      <w:pPr>
        <w:jc w:val="center"/>
        <w:rPr>
          <w:rFonts w:ascii="Times New Roman" w:eastAsia="仿宋_GB2312" w:hAnsi="Times New Roman"/>
          <w:color w:val="000000" w:themeColor="text1"/>
          <w:sz w:val="24"/>
          <w:szCs w:val="24"/>
        </w:rPr>
      </w:pPr>
      <w:r w:rsidRPr="000C1565">
        <w:rPr>
          <w:rFonts w:ascii="Times New Roman" w:eastAsia="仿宋_GB2312" w:hAnsi="Times New Roman" w:hint="eastAsia"/>
          <w:color w:val="000000" w:themeColor="text1"/>
          <w:sz w:val="24"/>
          <w:szCs w:val="24"/>
        </w:rPr>
        <w:t>图</w:t>
      </w:r>
      <w:r w:rsidR="00C71D4D">
        <w:rPr>
          <w:rFonts w:ascii="Times New Roman" w:eastAsia="仿宋_GB2312" w:hAnsi="Times New Roman" w:hint="eastAsia"/>
          <w:color w:val="000000" w:themeColor="text1"/>
          <w:sz w:val="24"/>
          <w:szCs w:val="24"/>
        </w:rPr>
        <w:t>15</w:t>
      </w:r>
      <w:r w:rsidR="008D7609">
        <w:rPr>
          <w:rFonts w:ascii="Times New Roman" w:eastAsia="仿宋_GB2312" w:hAnsi="Times New Roman" w:hint="eastAsia"/>
          <w:color w:val="000000" w:themeColor="text1"/>
          <w:sz w:val="24"/>
          <w:szCs w:val="24"/>
        </w:rPr>
        <w:t xml:space="preserve">  2014</w:t>
      </w:r>
      <w:r w:rsidR="008D7609">
        <w:rPr>
          <w:rFonts w:ascii="仿宋" w:eastAsia="仿宋" w:hAnsi="仿宋" w:hint="eastAsia"/>
          <w:color w:val="000000" w:themeColor="text1"/>
          <w:sz w:val="24"/>
          <w:szCs w:val="24"/>
        </w:rPr>
        <w:t>～</w:t>
      </w:r>
      <w:r w:rsidRPr="000C1565">
        <w:rPr>
          <w:rFonts w:ascii="Times New Roman" w:eastAsia="仿宋_GB2312" w:hAnsi="Times New Roman" w:hint="eastAsia"/>
          <w:color w:val="000000" w:themeColor="text1"/>
          <w:sz w:val="24"/>
          <w:szCs w:val="24"/>
        </w:rPr>
        <w:t>2016</w:t>
      </w:r>
      <w:r w:rsidR="00C21696">
        <w:rPr>
          <w:rFonts w:ascii="Times New Roman" w:eastAsia="仿宋_GB2312" w:hAnsi="Times New Roman" w:hint="eastAsia"/>
          <w:color w:val="000000" w:themeColor="text1"/>
          <w:sz w:val="24"/>
          <w:szCs w:val="24"/>
        </w:rPr>
        <w:t>年</w:t>
      </w:r>
      <w:r w:rsidR="00696491">
        <w:rPr>
          <w:rFonts w:ascii="Times New Roman" w:eastAsia="仿宋_GB2312" w:hAnsi="Times New Roman" w:hint="eastAsia"/>
          <w:color w:val="000000" w:themeColor="text1"/>
          <w:sz w:val="24"/>
          <w:szCs w:val="24"/>
        </w:rPr>
        <w:t>能耗监测平台</w:t>
      </w:r>
      <w:r w:rsidR="000B2D95">
        <w:rPr>
          <w:rFonts w:ascii="Times New Roman" w:eastAsia="仿宋_GB2312" w:hAnsi="Times New Roman" w:hint="eastAsia"/>
          <w:color w:val="000000" w:themeColor="text1"/>
          <w:sz w:val="24"/>
          <w:szCs w:val="24"/>
        </w:rPr>
        <w:t>主要</w:t>
      </w:r>
      <w:r w:rsidRPr="000C1565">
        <w:rPr>
          <w:rFonts w:ascii="Times New Roman" w:eastAsia="仿宋_GB2312" w:hAnsi="Times New Roman" w:hint="eastAsia"/>
          <w:color w:val="000000" w:themeColor="text1"/>
          <w:sz w:val="24"/>
          <w:szCs w:val="24"/>
        </w:rPr>
        <w:t>类型公共建筑</w:t>
      </w:r>
    </w:p>
    <w:p w:rsidR="00382A95" w:rsidRPr="000C1565" w:rsidRDefault="000C1565" w:rsidP="00DB66EC">
      <w:pPr>
        <w:spacing w:afterLines="50"/>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单位面积</w:t>
      </w:r>
      <w:r w:rsidR="00C21696">
        <w:rPr>
          <w:rFonts w:ascii="Times New Roman" w:eastAsia="仿宋_GB2312" w:hAnsi="Times New Roman" w:hint="eastAsia"/>
          <w:color w:val="000000" w:themeColor="text1"/>
          <w:sz w:val="24"/>
          <w:szCs w:val="24"/>
        </w:rPr>
        <w:t>年</w:t>
      </w:r>
      <w:r w:rsidR="00712CA6">
        <w:rPr>
          <w:rFonts w:ascii="Times New Roman" w:eastAsia="仿宋_GB2312" w:hAnsi="Times New Roman" w:hint="eastAsia"/>
          <w:color w:val="000000" w:themeColor="text1"/>
          <w:sz w:val="24"/>
          <w:szCs w:val="24"/>
        </w:rPr>
        <w:t>平均</w:t>
      </w:r>
      <w:r w:rsidR="00C21696">
        <w:rPr>
          <w:rFonts w:ascii="Times New Roman" w:eastAsia="仿宋_GB2312" w:hAnsi="Times New Roman" w:hint="eastAsia"/>
          <w:color w:val="000000" w:themeColor="text1"/>
          <w:sz w:val="24"/>
          <w:szCs w:val="24"/>
        </w:rPr>
        <w:t>用电量</w:t>
      </w:r>
      <w:r w:rsidR="000B2D95">
        <w:rPr>
          <w:rFonts w:ascii="Times New Roman" w:eastAsia="仿宋_GB2312" w:hAnsi="Times New Roman" w:hint="eastAsia"/>
          <w:color w:val="000000" w:themeColor="text1"/>
          <w:sz w:val="24"/>
          <w:szCs w:val="24"/>
        </w:rPr>
        <w:t>变化</w:t>
      </w:r>
      <w:r w:rsidRPr="000C1565">
        <w:rPr>
          <w:rFonts w:ascii="Times New Roman" w:eastAsia="仿宋_GB2312" w:hAnsi="Times New Roman" w:hint="eastAsia"/>
          <w:color w:val="000000" w:themeColor="text1"/>
          <w:sz w:val="24"/>
          <w:szCs w:val="24"/>
        </w:rPr>
        <w:t>情况</w:t>
      </w:r>
    </w:p>
    <w:p w:rsidR="00A36B13" w:rsidRPr="00A36B13" w:rsidRDefault="00A36B13" w:rsidP="00CF423C">
      <w:pPr>
        <w:pStyle w:val="3"/>
        <w:spacing w:before="0" w:after="0" w:line="415" w:lineRule="auto"/>
        <w:rPr>
          <w:rFonts w:ascii="黑体" w:eastAsia="黑体" w:hAnsi="黑体" w:cstheme="minorBidi"/>
          <w:bCs w:val="0"/>
          <w:sz w:val="30"/>
          <w:szCs w:val="30"/>
        </w:rPr>
      </w:pPr>
      <w:bookmarkStart w:id="21" w:name="_Toc479753013"/>
      <w:r w:rsidRPr="00A36B13">
        <w:rPr>
          <w:rFonts w:ascii="黑体" w:eastAsia="黑体" w:hAnsi="黑体" w:cstheme="minorBidi" w:hint="eastAsia"/>
          <w:bCs w:val="0"/>
          <w:sz w:val="30"/>
          <w:szCs w:val="30"/>
        </w:rPr>
        <w:t>3</w:t>
      </w:r>
      <w:r w:rsidR="00D24A13">
        <w:rPr>
          <w:rFonts w:ascii="黑体" w:eastAsia="黑体" w:hAnsi="黑体" w:cstheme="minorBidi" w:hint="eastAsia"/>
          <w:bCs w:val="0"/>
          <w:sz w:val="30"/>
          <w:szCs w:val="30"/>
        </w:rPr>
        <w:t>、工作日与非工作日</w:t>
      </w:r>
      <w:r w:rsidR="00DD1A07">
        <w:rPr>
          <w:rFonts w:ascii="黑体" w:eastAsia="黑体" w:hAnsi="黑体" w:cstheme="minorBidi" w:hint="eastAsia"/>
          <w:bCs w:val="0"/>
          <w:sz w:val="30"/>
          <w:szCs w:val="30"/>
        </w:rPr>
        <w:t>主要</w:t>
      </w:r>
      <w:r w:rsidR="00D24A13">
        <w:rPr>
          <w:rFonts w:ascii="黑体" w:eastAsia="黑体" w:hAnsi="黑体" w:cstheme="minorBidi" w:hint="eastAsia"/>
          <w:bCs w:val="0"/>
          <w:sz w:val="30"/>
          <w:szCs w:val="30"/>
        </w:rPr>
        <w:t>类型建筑用电情况</w:t>
      </w:r>
      <w:r w:rsidRPr="00A36B13">
        <w:rPr>
          <w:rFonts w:ascii="黑体" w:eastAsia="黑体" w:hAnsi="黑体" w:cstheme="minorBidi" w:hint="eastAsia"/>
          <w:bCs w:val="0"/>
          <w:sz w:val="30"/>
          <w:szCs w:val="30"/>
        </w:rPr>
        <w:t>分析</w:t>
      </w:r>
      <w:bookmarkEnd w:id="21"/>
    </w:p>
    <w:p w:rsidR="00712CA6" w:rsidRPr="00675822" w:rsidRDefault="00417F28" w:rsidP="00DB66EC">
      <w:pPr>
        <w:spacing w:afterLines="50"/>
        <w:ind w:firstLineChars="200" w:firstLine="600"/>
        <w:rPr>
          <w:rFonts w:ascii="Times New Roman" w:eastAsia="仿宋_GB2312" w:hAnsi="Times New Roman"/>
          <w:color w:val="000000" w:themeColor="text1"/>
          <w:sz w:val="24"/>
          <w:szCs w:val="24"/>
        </w:rPr>
      </w:pPr>
      <w:r>
        <w:rPr>
          <w:rFonts w:ascii="仿宋_GB2312" w:eastAsia="仿宋_GB2312" w:hAnsi="仿宋" w:cstheme="minorBidi" w:hint="eastAsia"/>
          <w:sz w:val="30"/>
          <w:szCs w:val="30"/>
        </w:rPr>
        <w:t>在2016</w:t>
      </w:r>
      <w:r w:rsidR="00B33332">
        <w:rPr>
          <w:rFonts w:ascii="仿宋_GB2312" w:eastAsia="仿宋_GB2312" w:hAnsi="仿宋" w:cstheme="minorBidi" w:hint="eastAsia"/>
          <w:sz w:val="30"/>
          <w:szCs w:val="30"/>
        </w:rPr>
        <w:t>年</w:t>
      </w:r>
      <w:r w:rsidRPr="00417F28">
        <w:rPr>
          <w:rFonts w:ascii="仿宋_GB2312" w:eastAsia="仿宋_GB2312" w:hAnsi="仿宋" w:cstheme="minorBidi" w:hint="eastAsia"/>
          <w:sz w:val="30"/>
          <w:szCs w:val="30"/>
        </w:rPr>
        <w:t>制冷季、过渡季、供暖季</w:t>
      </w:r>
      <w:r>
        <w:rPr>
          <w:rFonts w:ascii="仿宋_GB2312" w:eastAsia="仿宋_GB2312" w:hAnsi="仿宋" w:cstheme="minorBidi" w:hint="eastAsia"/>
          <w:sz w:val="30"/>
          <w:szCs w:val="30"/>
        </w:rPr>
        <w:t>中分</w:t>
      </w:r>
      <w:r w:rsidR="00CA7F00">
        <w:rPr>
          <w:rFonts w:ascii="仿宋_GB2312" w:eastAsia="仿宋_GB2312" w:hAnsi="仿宋" w:cstheme="minorBidi" w:hint="eastAsia"/>
          <w:sz w:val="30"/>
          <w:szCs w:val="30"/>
        </w:rPr>
        <w:t>别</w:t>
      </w:r>
      <w:r>
        <w:rPr>
          <w:rFonts w:ascii="仿宋_GB2312" w:eastAsia="仿宋_GB2312" w:hAnsi="仿宋" w:cstheme="minorBidi" w:hint="eastAsia"/>
          <w:sz w:val="30"/>
          <w:szCs w:val="30"/>
        </w:rPr>
        <w:t>选取</w:t>
      </w:r>
      <w:r w:rsidRPr="00417F28">
        <w:rPr>
          <w:rFonts w:ascii="仿宋_GB2312" w:eastAsia="仿宋_GB2312" w:hAnsi="仿宋" w:cstheme="minorBidi" w:hint="eastAsia"/>
          <w:sz w:val="30"/>
          <w:szCs w:val="30"/>
        </w:rPr>
        <w:t>一个</w:t>
      </w:r>
      <w:r>
        <w:rPr>
          <w:rFonts w:ascii="仿宋_GB2312" w:eastAsia="仿宋_GB2312" w:hAnsi="仿宋" w:cstheme="minorBidi" w:hint="eastAsia"/>
          <w:sz w:val="30"/>
          <w:szCs w:val="30"/>
        </w:rPr>
        <w:t>自然</w:t>
      </w:r>
      <w:r w:rsidRPr="00417F28">
        <w:rPr>
          <w:rFonts w:ascii="仿宋_GB2312" w:eastAsia="仿宋_GB2312" w:hAnsi="仿宋" w:cstheme="minorBidi" w:hint="eastAsia"/>
          <w:sz w:val="30"/>
          <w:szCs w:val="30"/>
        </w:rPr>
        <w:t>月，</w:t>
      </w:r>
      <w:r w:rsidR="00CA7F00">
        <w:rPr>
          <w:rFonts w:ascii="仿宋_GB2312" w:eastAsia="仿宋_GB2312" w:hAnsi="仿宋" w:cstheme="minorBidi" w:hint="eastAsia"/>
          <w:sz w:val="30"/>
          <w:szCs w:val="30"/>
        </w:rPr>
        <w:t>计算</w:t>
      </w:r>
      <w:r w:rsidR="00EE73E9">
        <w:rPr>
          <w:rFonts w:ascii="仿宋_GB2312" w:eastAsia="仿宋_GB2312" w:hAnsi="仿宋" w:cstheme="minorBidi" w:hint="eastAsia"/>
          <w:sz w:val="30"/>
          <w:szCs w:val="30"/>
        </w:rPr>
        <w:t>主要</w:t>
      </w:r>
      <w:r>
        <w:rPr>
          <w:rFonts w:ascii="仿宋_GB2312" w:eastAsia="仿宋_GB2312" w:hAnsi="仿宋" w:cstheme="minorBidi" w:hint="eastAsia"/>
          <w:sz w:val="30"/>
          <w:szCs w:val="30"/>
        </w:rPr>
        <w:t>类型建筑工作日与</w:t>
      </w:r>
      <w:r w:rsidR="00675822">
        <w:rPr>
          <w:rFonts w:ascii="仿宋_GB2312" w:eastAsia="仿宋_GB2312" w:hAnsi="仿宋" w:cstheme="minorBidi" w:hint="eastAsia"/>
          <w:sz w:val="30"/>
          <w:szCs w:val="30"/>
        </w:rPr>
        <w:t>非工作</w:t>
      </w:r>
      <w:r>
        <w:rPr>
          <w:rFonts w:ascii="仿宋_GB2312" w:eastAsia="仿宋_GB2312" w:hAnsi="仿宋" w:cstheme="minorBidi" w:hint="eastAsia"/>
          <w:sz w:val="30"/>
          <w:szCs w:val="30"/>
        </w:rPr>
        <w:t>日</w:t>
      </w:r>
      <w:r w:rsidR="00CA7F00">
        <w:rPr>
          <w:rFonts w:ascii="仿宋_GB2312" w:eastAsia="仿宋_GB2312" w:hAnsi="仿宋" w:cstheme="minorBidi" w:hint="eastAsia"/>
          <w:sz w:val="30"/>
          <w:szCs w:val="30"/>
        </w:rPr>
        <w:t>单位面积日</w:t>
      </w:r>
      <w:r w:rsidR="008D7609">
        <w:rPr>
          <w:rFonts w:ascii="仿宋_GB2312" w:eastAsia="仿宋_GB2312" w:hAnsi="仿宋" w:cstheme="minorBidi" w:hint="eastAsia"/>
          <w:sz w:val="30"/>
          <w:szCs w:val="30"/>
        </w:rPr>
        <w:t>平均</w:t>
      </w:r>
      <w:r>
        <w:rPr>
          <w:rFonts w:ascii="仿宋_GB2312" w:eastAsia="仿宋_GB2312" w:hAnsi="仿宋" w:cstheme="minorBidi" w:hint="eastAsia"/>
          <w:sz w:val="30"/>
          <w:szCs w:val="30"/>
        </w:rPr>
        <w:t>用电量</w:t>
      </w:r>
      <w:r w:rsidR="00CA7F00">
        <w:rPr>
          <w:rFonts w:ascii="仿宋_GB2312" w:eastAsia="仿宋_GB2312" w:hAnsi="仿宋" w:cstheme="minorBidi" w:hint="eastAsia"/>
          <w:sz w:val="30"/>
          <w:szCs w:val="30"/>
        </w:rPr>
        <w:t>，并计算两者之间的差异率，如表5所示。</w:t>
      </w:r>
      <w:r w:rsidRPr="00417F28">
        <w:rPr>
          <w:rFonts w:ascii="仿宋_GB2312" w:eastAsia="仿宋_GB2312" w:hAnsi="仿宋" w:cstheme="minorBidi" w:hint="eastAsia"/>
          <w:sz w:val="30"/>
          <w:szCs w:val="30"/>
        </w:rPr>
        <w:t>国家机关办公建筑与办公建筑</w:t>
      </w:r>
      <w:r w:rsidR="00CA7F00">
        <w:rPr>
          <w:rFonts w:ascii="仿宋_GB2312" w:eastAsia="仿宋_GB2312" w:hAnsi="仿宋" w:cstheme="minorBidi" w:hint="eastAsia"/>
          <w:sz w:val="30"/>
          <w:szCs w:val="30"/>
        </w:rPr>
        <w:t>总体工作日用电量大于</w:t>
      </w:r>
      <w:r w:rsidR="00675822">
        <w:rPr>
          <w:rFonts w:ascii="仿宋_GB2312" w:eastAsia="仿宋_GB2312" w:hAnsi="仿宋" w:cstheme="minorBidi" w:hint="eastAsia"/>
          <w:sz w:val="30"/>
          <w:szCs w:val="30"/>
        </w:rPr>
        <w:t>非工作</w:t>
      </w:r>
      <w:r w:rsidR="00CA7F00">
        <w:rPr>
          <w:rFonts w:ascii="仿宋_GB2312" w:eastAsia="仿宋_GB2312" w:hAnsi="仿宋" w:cstheme="minorBidi" w:hint="eastAsia"/>
          <w:sz w:val="30"/>
          <w:szCs w:val="30"/>
        </w:rPr>
        <w:t>日，且差异</w:t>
      </w:r>
      <w:r>
        <w:rPr>
          <w:rFonts w:ascii="仿宋_GB2312" w:eastAsia="仿宋_GB2312" w:hAnsi="仿宋" w:cstheme="minorBidi" w:hint="eastAsia"/>
          <w:sz w:val="30"/>
          <w:szCs w:val="30"/>
        </w:rPr>
        <w:t>较</w:t>
      </w:r>
      <w:r w:rsidR="00CA7F00">
        <w:rPr>
          <w:rFonts w:ascii="仿宋_GB2312" w:eastAsia="仿宋_GB2312" w:hAnsi="仿宋" w:cstheme="minorBidi" w:hint="eastAsia"/>
          <w:sz w:val="30"/>
          <w:szCs w:val="30"/>
        </w:rPr>
        <w:t>大</w:t>
      </w:r>
      <w:r w:rsidRPr="00417F28">
        <w:rPr>
          <w:rFonts w:ascii="仿宋_GB2312" w:eastAsia="仿宋_GB2312" w:hAnsi="仿宋" w:cstheme="minorBidi" w:hint="eastAsia"/>
          <w:sz w:val="30"/>
          <w:szCs w:val="30"/>
        </w:rPr>
        <w:t>，</w:t>
      </w:r>
      <w:r w:rsidR="00CA7F00">
        <w:rPr>
          <w:rFonts w:ascii="仿宋_GB2312" w:eastAsia="仿宋_GB2312" w:hAnsi="仿宋" w:cstheme="minorBidi" w:hint="eastAsia"/>
          <w:sz w:val="30"/>
          <w:szCs w:val="30"/>
        </w:rPr>
        <w:t>尤其在需要开空调的制冷及供暖季，差异更为明显，差异率均大于</w:t>
      </w:r>
      <w:r w:rsidR="00CA7F00">
        <w:rPr>
          <w:rFonts w:ascii="仿宋_GB2312" w:eastAsia="仿宋_GB2312" w:hAnsi="仿宋" w:cstheme="minorBidi" w:hint="eastAsia"/>
          <w:sz w:val="30"/>
          <w:szCs w:val="30"/>
        </w:rPr>
        <w:lastRenderedPageBreak/>
        <w:t>60%，</w:t>
      </w:r>
      <w:r w:rsidRPr="00417F28">
        <w:rPr>
          <w:rFonts w:ascii="仿宋_GB2312" w:eastAsia="仿宋_GB2312" w:hAnsi="仿宋" w:cstheme="minorBidi" w:hint="eastAsia"/>
          <w:sz w:val="30"/>
          <w:szCs w:val="30"/>
        </w:rPr>
        <w:t>体现了办公类建筑</w:t>
      </w:r>
      <w:r w:rsidR="00D24A13">
        <w:rPr>
          <w:rFonts w:ascii="仿宋_GB2312" w:eastAsia="仿宋_GB2312" w:hAnsi="仿宋" w:cstheme="minorBidi" w:hint="eastAsia"/>
          <w:sz w:val="30"/>
          <w:szCs w:val="30"/>
        </w:rPr>
        <w:t>典型</w:t>
      </w:r>
      <w:r>
        <w:rPr>
          <w:rFonts w:ascii="仿宋_GB2312" w:eastAsia="仿宋_GB2312" w:hAnsi="仿宋" w:cstheme="minorBidi" w:hint="eastAsia"/>
          <w:sz w:val="30"/>
          <w:szCs w:val="30"/>
        </w:rPr>
        <w:t>的用电周期性</w:t>
      </w:r>
      <w:r w:rsidR="00FE4F21">
        <w:rPr>
          <w:rFonts w:ascii="仿宋_GB2312" w:eastAsia="仿宋_GB2312" w:hAnsi="仿宋" w:cstheme="minorBidi" w:hint="eastAsia"/>
          <w:sz w:val="30"/>
          <w:szCs w:val="30"/>
        </w:rPr>
        <w:t>。</w:t>
      </w:r>
      <w:r w:rsidR="00CA7F00">
        <w:rPr>
          <w:rFonts w:ascii="仿宋_GB2312" w:eastAsia="仿宋_GB2312" w:hAnsi="仿宋" w:cstheme="minorBidi" w:hint="eastAsia"/>
          <w:sz w:val="30"/>
          <w:szCs w:val="30"/>
        </w:rPr>
        <w:t>旅游饭店建筑、</w:t>
      </w:r>
      <w:r w:rsidRPr="00417F28">
        <w:rPr>
          <w:rFonts w:ascii="仿宋_GB2312" w:eastAsia="仿宋_GB2312" w:hAnsi="仿宋" w:cstheme="minorBidi" w:hint="eastAsia"/>
          <w:sz w:val="30"/>
          <w:szCs w:val="30"/>
        </w:rPr>
        <w:t>商场建筑</w:t>
      </w:r>
      <w:r w:rsidR="00CA7F00">
        <w:rPr>
          <w:rFonts w:ascii="仿宋_GB2312" w:eastAsia="仿宋_GB2312" w:hAnsi="仿宋" w:cstheme="minorBidi" w:hint="eastAsia"/>
          <w:sz w:val="30"/>
          <w:szCs w:val="30"/>
        </w:rPr>
        <w:t>总体工作日与</w:t>
      </w:r>
      <w:r w:rsidR="00675822">
        <w:rPr>
          <w:rFonts w:ascii="仿宋_GB2312" w:eastAsia="仿宋_GB2312" w:hAnsi="仿宋" w:cstheme="minorBidi" w:hint="eastAsia"/>
          <w:sz w:val="30"/>
          <w:szCs w:val="30"/>
        </w:rPr>
        <w:t>非工作</w:t>
      </w:r>
      <w:r w:rsidR="00CA7F00">
        <w:rPr>
          <w:rFonts w:ascii="仿宋_GB2312" w:eastAsia="仿宋_GB2312" w:hAnsi="仿宋" w:cstheme="minorBidi" w:hint="eastAsia"/>
          <w:sz w:val="30"/>
          <w:szCs w:val="30"/>
        </w:rPr>
        <w:t>日用电量差异</w:t>
      </w:r>
      <w:r w:rsidRPr="00417F28">
        <w:rPr>
          <w:rFonts w:ascii="仿宋_GB2312" w:eastAsia="仿宋_GB2312" w:hAnsi="仿宋" w:cstheme="minorBidi" w:hint="eastAsia"/>
          <w:sz w:val="30"/>
          <w:szCs w:val="30"/>
        </w:rPr>
        <w:t>较小</w:t>
      </w:r>
      <w:r w:rsidR="00FE4F21">
        <w:rPr>
          <w:rFonts w:ascii="仿宋_GB2312" w:eastAsia="仿宋_GB2312" w:hAnsi="仿宋" w:cstheme="minorBidi" w:hint="eastAsia"/>
          <w:sz w:val="30"/>
          <w:szCs w:val="30"/>
        </w:rPr>
        <w:t>，体现了商业建筑的连续营业</w:t>
      </w:r>
      <w:r w:rsidR="00CA7F00">
        <w:rPr>
          <w:rFonts w:ascii="仿宋_GB2312" w:eastAsia="仿宋_GB2312" w:hAnsi="仿宋" w:cstheme="minorBidi" w:hint="eastAsia"/>
          <w:sz w:val="30"/>
          <w:szCs w:val="30"/>
        </w:rPr>
        <w:t>特</w:t>
      </w:r>
      <w:r w:rsidR="00FE4F21">
        <w:rPr>
          <w:rFonts w:ascii="仿宋_GB2312" w:eastAsia="仿宋_GB2312" w:hAnsi="仿宋" w:cstheme="minorBidi" w:hint="eastAsia"/>
          <w:sz w:val="30"/>
          <w:szCs w:val="30"/>
        </w:rPr>
        <w:t>性，</w:t>
      </w:r>
      <w:r>
        <w:rPr>
          <w:rFonts w:ascii="仿宋_GB2312" w:eastAsia="仿宋_GB2312" w:hAnsi="仿宋" w:cstheme="minorBidi" w:hint="eastAsia"/>
          <w:sz w:val="30"/>
          <w:szCs w:val="30"/>
        </w:rPr>
        <w:t>其中</w:t>
      </w:r>
      <w:r w:rsidR="00CA7F00">
        <w:rPr>
          <w:rFonts w:ascii="仿宋_GB2312" w:eastAsia="仿宋_GB2312" w:hAnsi="仿宋" w:cstheme="minorBidi" w:hint="eastAsia"/>
          <w:sz w:val="30"/>
          <w:szCs w:val="30"/>
        </w:rPr>
        <w:t>在无需使用空调的</w:t>
      </w:r>
      <w:r>
        <w:rPr>
          <w:rFonts w:ascii="仿宋_GB2312" w:eastAsia="仿宋_GB2312" w:hAnsi="仿宋" w:cstheme="minorBidi" w:hint="eastAsia"/>
          <w:sz w:val="30"/>
          <w:szCs w:val="30"/>
        </w:rPr>
        <w:t>过</w:t>
      </w:r>
      <w:r w:rsidR="00CA7F00">
        <w:rPr>
          <w:rFonts w:ascii="仿宋_GB2312" w:eastAsia="仿宋_GB2312" w:hAnsi="仿宋" w:cstheme="minorBidi" w:hint="eastAsia"/>
          <w:sz w:val="30"/>
          <w:szCs w:val="30"/>
        </w:rPr>
        <w:t>渡季节</w:t>
      </w:r>
      <w:r w:rsidR="00EE73E9">
        <w:rPr>
          <w:rFonts w:ascii="仿宋_GB2312" w:eastAsia="仿宋_GB2312" w:hAnsi="仿宋" w:cstheme="minorBidi" w:hint="eastAsia"/>
          <w:sz w:val="30"/>
          <w:szCs w:val="30"/>
        </w:rPr>
        <w:t>，</w:t>
      </w:r>
      <w:r w:rsidR="00675822">
        <w:rPr>
          <w:rFonts w:ascii="仿宋_GB2312" w:eastAsia="仿宋_GB2312" w:hAnsi="仿宋" w:cstheme="minorBidi" w:hint="eastAsia"/>
          <w:sz w:val="30"/>
          <w:szCs w:val="30"/>
        </w:rPr>
        <w:t>非工作</w:t>
      </w:r>
      <w:r w:rsidR="00CA7F00">
        <w:rPr>
          <w:rFonts w:ascii="仿宋_GB2312" w:eastAsia="仿宋_GB2312" w:hAnsi="仿宋" w:cstheme="minorBidi" w:hint="eastAsia"/>
          <w:sz w:val="30"/>
          <w:szCs w:val="30"/>
        </w:rPr>
        <w:t>日用电量</w:t>
      </w:r>
      <w:r w:rsidR="00020980">
        <w:rPr>
          <w:rFonts w:ascii="仿宋_GB2312" w:eastAsia="仿宋_GB2312" w:hAnsi="仿宋" w:cstheme="minorBidi" w:hint="eastAsia"/>
          <w:sz w:val="30"/>
          <w:szCs w:val="30"/>
        </w:rPr>
        <w:t>略</w:t>
      </w:r>
      <w:r w:rsidR="00CA7F00">
        <w:rPr>
          <w:rFonts w:ascii="仿宋_GB2312" w:eastAsia="仿宋_GB2312" w:hAnsi="仿宋" w:cstheme="minorBidi" w:hint="eastAsia"/>
          <w:sz w:val="30"/>
          <w:szCs w:val="30"/>
        </w:rPr>
        <w:t>大于工作日，反映</w:t>
      </w:r>
      <w:r>
        <w:rPr>
          <w:rFonts w:ascii="仿宋_GB2312" w:eastAsia="仿宋_GB2312" w:hAnsi="仿宋" w:cstheme="minorBidi" w:hint="eastAsia"/>
          <w:sz w:val="30"/>
          <w:szCs w:val="30"/>
        </w:rPr>
        <w:t>出</w:t>
      </w:r>
      <w:r w:rsidRPr="00417F28">
        <w:rPr>
          <w:rFonts w:ascii="仿宋_GB2312" w:eastAsia="仿宋_GB2312" w:hAnsi="仿宋" w:cstheme="minorBidi" w:hint="eastAsia"/>
          <w:sz w:val="30"/>
          <w:szCs w:val="30"/>
        </w:rPr>
        <w:t>商业建筑</w:t>
      </w:r>
      <w:r w:rsidR="007B075A">
        <w:rPr>
          <w:rFonts w:ascii="仿宋_GB2312" w:eastAsia="仿宋_GB2312" w:hAnsi="仿宋" w:cstheme="minorBidi" w:hint="eastAsia"/>
          <w:sz w:val="30"/>
          <w:szCs w:val="30"/>
        </w:rPr>
        <w:t>非工作</w:t>
      </w:r>
      <w:r w:rsidRPr="00417F28">
        <w:rPr>
          <w:rFonts w:ascii="仿宋_GB2312" w:eastAsia="仿宋_GB2312" w:hAnsi="仿宋" w:cstheme="minorBidi" w:hint="eastAsia"/>
          <w:sz w:val="30"/>
          <w:szCs w:val="30"/>
        </w:rPr>
        <w:t>日客流增多的特性。</w:t>
      </w:r>
      <w:r w:rsidR="00D24A13">
        <w:rPr>
          <w:rFonts w:ascii="仿宋_GB2312" w:eastAsia="仿宋_GB2312" w:hAnsi="仿宋" w:cstheme="minorBidi" w:hint="eastAsia"/>
          <w:sz w:val="30"/>
          <w:szCs w:val="30"/>
        </w:rPr>
        <w:t>卫生建筑</w:t>
      </w:r>
      <w:r w:rsidR="00CA7F00">
        <w:rPr>
          <w:rFonts w:ascii="仿宋_GB2312" w:eastAsia="仿宋_GB2312" w:hAnsi="仿宋" w:cstheme="minorBidi" w:hint="eastAsia"/>
          <w:sz w:val="30"/>
          <w:szCs w:val="30"/>
        </w:rPr>
        <w:t>总体</w:t>
      </w:r>
      <w:r>
        <w:rPr>
          <w:rFonts w:ascii="仿宋_GB2312" w:eastAsia="仿宋_GB2312" w:hAnsi="仿宋" w:cstheme="minorBidi" w:hint="eastAsia"/>
          <w:sz w:val="30"/>
          <w:szCs w:val="30"/>
        </w:rPr>
        <w:t>工作日用电</w:t>
      </w:r>
      <w:r w:rsidR="00AF321B">
        <w:rPr>
          <w:rFonts w:ascii="仿宋_GB2312" w:eastAsia="仿宋_GB2312" w:hAnsi="仿宋" w:cstheme="minorBidi" w:hint="eastAsia"/>
          <w:sz w:val="30"/>
          <w:szCs w:val="30"/>
        </w:rPr>
        <w:t>量略</w:t>
      </w:r>
      <w:r>
        <w:rPr>
          <w:rFonts w:ascii="仿宋_GB2312" w:eastAsia="仿宋_GB2312" w:hAnsi="仿宋" w:cstheme="minorBidi" w:hint="eastAsia"/>
          <w:sz w:val="30"/>
          <w:szCs w:val="30"/>
        </w:rPr>
        <w:t>多于</w:t>
      </w:r>
      <w:r w:rsidR="00675822">
        <w:rPr>
          <w:rFonts w:ascii="仿宋_GB2312" w:eastAsia="仿宋_GB2312" w:hAnsi="仿宋" w:cstheme="minorBidi" w:hint="eastAsia"/>
          <w:sz w:val="30"/>
          <w:szCs w:val="30"/>
        </w:rPr>
        <w:t>非工作</w:t>
      </w:r>
      <w:r w:rsidR="00AF321B">
        <w:rPr>
          <w:rFonts w:ascii="仿宋_GB2312" w:eastAsia="仿宋_GB2312" w:hAnsi="仿宋" w:cstheme="minorBidi" w:hint="eastAsia"/>
          <w:sz w:val="30"/>
          <w:szCs w:val="30"/>
        </w:rPr>
        <w:t>日</w:t>
      </w:r>
      <w:r w:rsidRPr="00417F28">
        <w:rPr>
          <w:rFonts w:ascii="仿宋_GB2312" w:eastAsia="仿宋_GB2312" w:hAnsi="仿宋" w:cstheme="minorBidi" w:hint="eastAsia"/>
          <w:sz w:val="30"/>
          <w:szCs w:val="30"/>
        </w:rPr>
        <w:t>，</w:t>
      </w:r>
      <w:r w:rsidR="00D24A13">
        <w:rPr>
          <w:rFonts w:ascii="仿宋_GB2312" w:eastAsia="仿宋_GB2312" w:hAnsi="仿宋" w:cstheme="minorBidi" w:hint="eastAsia"/>
          <w:sz w:val="30"/>
          <w:szCs w:val="30"/>
        </w:rPr>
        <w:t>但相比于办公建筑，其</w:t>
      </w:r>
      <w:r w:rsidRPr="00417F28">
        <w:rPr>
          <w:rFonts w:ascii="仿宋_GB2312" w:eastAsia="仿宋_GB2312" w:hAnsi="仿宋" w:cstheme="minorBidi" w:hint="eastAsia"/>
          <w:sz w:val="30"/>
          <w:szCs w:val="30"/>
        </w:rPr>
        <w:t>差异率</w:t>
      </w:r>
      <w:r w:rsidR="00D24A13">
        <w:rPr>
          <w:rFonts w:ascii="仿宋_GB2312" w:eastAsia="仿宋_GB2312" w:hAnsi="仿宋" w:cstheme="minorBidi" w:hint="eastAsia"/>
          <w:sz w:val="30"/>
          <w:szCs w:val="30"/>
        </w:rPr>
        <w:t>明显较小</w:t>
      </w:r>
      <w:r w:rsidR="00AF321B">
        <w:rPr>
          <w:rFonts w:ascii="仿宋_GB2312" w:eastAsia="仿宋_GB2312" w:hAnsi="仿宋" w:cstheme="minorBidi" w:hint="eastAsia"/>
          <w:sz w:val="30"/>
          <w:szCs w:val="30"/>
        </w:rPr>
        <w:t>，且在不同季节差异率基本一致，反映了卫生类建筑运营的特殊性，</w:t>
      </w:r>
      <w:r w:rsidR="00675822">
        <w:rPr>
          <w:rFonts w:ascii="仿宋_GB2312" w:eastAsia="仿宋_GB2312" w:hAnsi="仿宋" w:cstheme="minorBidi" w:hint="eastAsia"/>
          <w:sz w:val="30"/>
          <w:szCs w:val="30"/>
        </w:rPr>
        <w:t>非工作</w:t>
      </w:r>
      <w:r w:rsidR="00AF321B">
        <w:rPr>
          <w:rFonts w:ascii="仿宋_GB2312" w:eastAsia="仿宋_GB2312" w:hAnsi="仿宋" w:cstheme="minorBidi" w:hint="eastAsia"/>
          <w:sz w:val="30"/>
          <w:szCs w:val="30"/>
        </w:rPr>
        <w:t>日仍有大部分区域持续运营（如急诊、病房等）</w:t>
      </w:r>
      <w:r w:rsidRPr="00417F28">
        <w:rPr>
          <w:rFonts w:ascii="仿宋_GB2312" w:eastAsia="仿宋_GB2312" w:hAnsi="仿宋" w:cstheme="minorBidi" w:hint="eastAsia"/>
          <w:sz w:val="30"/>
          <w:szCs w:val="30"/>
        </w:rPr>
        <w:t>。</w:t>
      </w:r>
    </w:p>
    <w:p w:rsidR="00D24A13" w:rsidRDefault="00D24A13" w:rsidP="00D24A13">
      <w:pPr>
        <w:jc w:val="center"/>
        <w:rPr>
          <w:rFonts w:ascii="Times New Roman" w:eastAsia="仿宋_GB2312" w:hAnsi="Times New Roman"/>
          <w:color w:val="000000" w:themeColor="text1"/>
          <w:sz w:val="24"/>
          <w:szCs w:val="24"/>
        </w:rPr>
      </w:pPr>
      <w:r w:rsidRPr="00D24A13">
        <w:rPr>
          <w:rFonts w:ascii="Times New Roman" w:eastAsia="仿宋_GB2312" w:hAnsi="Times New Roman" w:hint="eastAsia"/>
          <w:color w:val="000000" w:themeColor="text1"/>
          <w:sz w:val="24"/>
          <w:szCs w:val="24"/>
        </w:rPr>
        <w:t>表</w:t>
      </w:r>
      <w:r w:rsidRPr="00D24A13">
        <w:rPr>
          <w:rFonts w:ascii="Times New Roman" w:eastAsia="仿宋_GB2312" w:hAnsi="Times New Roman" w:hint="eastAsia"/>
          <w:color w:val="000000" w:themeColor="text1"/>
          <w:sz w:val="24"/>
          <w:szCs w:val="24"/>
        </w:rPr>
        <w:t>5  2016</w:t>
      </w:r>
      <w:r w:rsidRPr="00D24A13">
        <w:rPr>
          <w:rFonts w:ascii="Times New Roman" w:eastAsia="仿宋_GB2312" w:hAnsi="Times New Roman" w:hint="eastAsia"/>
          <w:color w:val="000000" w:themeColor="text1"/>
          <w:sz w:val="24"/>
          <w:szCs w:val="24"/>
        </w:rPr>
        <w:t>年工作日与非工作日</w:t>
      </w:r>
      <w:r w:rsidR="00EE73E9">
        <w:rPr>
          <w:rFonts w:ascii="Times New Roman" w:eastAsia="仿宋_GB2312" w:hAnsi="Times New Roman" w:hint="eastAsia"/>
          <w:color w:val="000000" w:themeColor="text1"/>
          <w:sz w:val="24"/>
          <w:szCs w:val="24"/>
        </w:rPr>
        <w:t>主要</w:t>
      </w:r>
      <w:r w:rsidR="00EE73E9">
        <w:rPr>
          <w:rFonts w:ascii="Times New Roman" w:eastAsia="仿宋_GB2312" w:hAnsi="Times New Roman"/>
          <w:color w:val="000000" w:themeColor="text1"/>
          <w:sz w:val="24"/>
          <w:szCs w:val="24"/>
        </w:rPr>
        <w:t>类型</w:t>
      </w:r>
      <w:r w:rsidRPr="00D24A13">
        <w:rPr>
          <w:rFonts w:ascii="Times New Roman" w:eastAsia="仿宋_GB2312" w:hAnsi="Times New Roman" w:hint="eastAsia"/>
          <w:color w:val="000000" w:themeColor="text1"/>
          <w:sz w:val="24"/>
          <w:szCs w:val="24"/>
        </w:rPr>
        <w:t>建筑用电</w:t>
      </w:r>
      <w:r w:rsidR="008D7609">
        <w:rPr>
          <w:rFonts w:ascii="Times New Roman" w:eastAsia="仿宋_GB2312" w:hAnsi="Times New Roman" w:hint="eastAsia"/>
          <w:color w:val="000000" w:themeColor="text1"/>
          <w:sz w:val="24"/>
          <w:szCs w:val="24"/>
        </w:rPr>
        <w:t>量差异</w:t>
      </w:r>
      <w:r w:rsidR="00D1278E">
        <w:rPr>
          <w:rFonts w:ascii="Times New Roman" w:eastAsia="仿宋_GB2312" w:hAnsi="Times New Roman" w:hint="eastAsia"/>
          <w:color w:val="000000" w:themeColor="text1"/>
          <w:sz w:val="24"/>
          <w:szCs w:val="24"/>
        </w:rPr>
        <w:t>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57"/>
        <w:gridCol w:w="872"/>
        <w:gridCol w:w="948"/>
        <w:gridCol w:w="636"/>
        <w:gridCol w:w="871"/>
        <w:gridCol w:w="948"/>
        <w:gridCol w:w="741"/>
        <w:gridCol w:w="871"/>
        <w:gridCol w:w="948"/>
        <w:gridCol w:w="636"/>
      </w:tblGrid>
      <w:tr w:rsidR="00CE7E9B" w:rsidRPr="00F20AA6" w:rsidTr="00B30D92">
        <w:trPr>
          <w:trHeight w:val="280"/>
          <w:jc w:val="center"/>
        </w:trPr>
        <w:tc>
          <w:tcPr>
            <w:tcW w:w="0" w:type="auto"/>
            <w:vMerge w:val="restart"/>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建筑类型</w:t>
            </w:r>
          </w:p>
        </w:tc>
        <w:tc>
          <w:tcPr>
            <w:tcW w:w="0" w:type="auto"/>
            <w:gridSpan w:val="3"/>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7月（制冷</w:t>
            </w:r>
            <w:r w:rsidR="00EE73E9" w:rsidRPr="00F20AA6">
              <w:rPr>
                <w:rFonts w:ascii="仿宋" w:eastAsia="仿宋" w:hAnsi="仿宋" w:cs="宋体" w:hint="eastAsia"/>
                <w:color w:val="000000"/>
                <w:kern w:val="0"/>
                <w:szCs w:val="21"/>
              </w:rPr>
              <w:t>季</w:t>
            </w:r>
            <w:r w:rsidRPr="00F20AA6">
              <w:rPr>
                <w:rFonts w:ascii="仿宋" w:eastAsia="仿宋" w:hAnsi="仿宋" w:cs="宋体" w:hint="eastAsia"/>
                <w:color w:val="000000"/>
                <w:kern w:val="0"/>
                <w:szCs w:val="21"/>
              </w:rPr>
              <w:t>）</w:t>
            </w:r>
          </w:p>
        </w:tc>
        <w:tc>
          <w:tcPr>
            <w:tcW w:w="0" w:type="auto"/>
            <w:gridSpan w:val="3"/>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10月（过渡</w:t>
            </w:r>
            <w:r w:rsidR="00EE73E9" w:rsidRPr="00F20AA6">
              <w:rPr>
                <w:rFonts w:ascii="仿宋" w:eastAsia="仿宋" w:hAnsi="仿宋" w:cs="宋体" w:hint="eastAsia"/>
                <w:color w:val="000000"/>
                <w:kern w:val="0"/>
                <w:szCs w:val="21"/>
              </w:rPr>
              <w:t>季</w:t>
            </w:r>
            <w:r w:rsidRPr="00F20AA6">
              <w:rPr>
                <w:rFonts w:ascii="仿宋" w:eastAsia="仿宋" w:hAnsi="仿宋" w:cs="宋体" w:hint="eastAsia"/>
                <w:color w:val="000000"/>
                <w:kern w:val="0"/>
                <w:szCs w:val="21"/>
              </w:rPr>
              <w:t>）</w:t>
            </w:r>
          </w:p>
        </w:tc>
        <w:tc>
          <w:tcPr>
            <w:tcW w:w="0" w:type="auto"/>
            <w:gridSpan w:val="3"/>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12月（供暖</w:t>
            </w:r>
            <w:r w:rsidR="00EE73E9" w:rsidRPr="00F20AA6">
              <w:rPr>
                <w:rFonts w:ascii="仿宋" w:eastAsia="仿宋" w:hAnsi="仿宋" w:cs="宋体" w:hint="eastAsia"/>
                <w:color w:val="000000"/>
                <w:kern w:val="0"/>
                <w:szCs w:val="21"/>
              </w:rPr>
              <w:t>季</w:t>
            </w:r>
            <w:r w:rsidRPr="00F20AA6">
              <w:rPr>
                <w:rFonts w:ascii="仿宋" w:eastAsia="仿宋" w:hAnsi="仿宋" w:cs="宋体" w:hint="eastAsia"/>
                <w:color w:val="000000"/>
                <w:kern w:val="0"/>
                <w:szCs w:val="21"/>
              </w:rPr>
              <w:t>）</w:t>
            </w:r>
          </w:p>
        </w:tc>
      </w:tr>
      <w:tr w:rsidR="00CE7E9B" w:rsidRPr="00F20AA6" w:rsidTr="00B30D92">
        <w:trPr>
          <w:trHeight w:val="740"/>
          <w:jc w:val="center"/>
        </w:trPr>
        <w:tc>
          <w:tcPr>
            <w:tcW w:w="0" w:type="auto"/>
            <w:vMerge/>
            <w:vAlign w:val="center"/>
            <w:hideMark/>
          </w:tcPr>
          <w:p w:rsidR="00CE7E9B" w:rsidRPr="00F20AA6" w:rsidRDefault="00CE7E9B" w:rsidP="00CE7E9B">
            <w:pPr>
              <w:widowControl/>
              <w:jc w:val="center"/>
              <w:rPr>
                <w:rFonts w:ascii="仿宋" w:eastAsia="仿宋" w:hAnsi="仿宋" w:cs="宋体"/>
                <w:color w:val="000000"/>
                <w:kern w:val="0"/>
                <w:szCs w:val="21"/>
              </w:rPr>
            </w:pPr>
          </w:p>
        </w:tc>
        <w:tc>
          <w:tcPr>
            <w:tcW w:w="0" w:type="auto"/>
            <w:shd w:val="clear" w:color="auto" w:fill="auto"/>
            <w:vAlign w:val="center"/>
            <w:hideMark/>
          </w:tcPr>
          <w:p w:rsidR="00CE7E9B" w:rsidRPr="00F20AA6" w:rsidRDefault="00CE7E9B"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工作日Wh/m</w:t>
            </w:r>
            <w:r w:rsidRPr="00F20AA6">
              <w:rPr>
                <w:rFonts w:ascii="仿宋" w:eastAsia="仿宋" w:hAnsi="仿宋" w:cs="宋体" w:hint="eastAsia"/>
                <w:color w:val="000000"/>
                <w:kern w:val="0"/>
                <w:sz w:val="18"/>
                <w:szCs w:val="18"/>
                <w:vertAlign w:val="superscript"/>
              </w:rPr>
              <w:t>2</w:t>
            </w:r>
          </w:p>
        </w:tc>
        <w:tc>
          <w:tcPr>
            <w:tcW w:w="0" w:type="auto"/>
            <w:shd w:val="clear" w:color="auto" w:fill="auto"/>
            <w:vAlign w:val="center"/>
            <w:hideMark/>
          </w:tcPr>
          <w:p w:rsidR="00CE7E9B" w:rsidRPr="00F20AA6" w:rsidRDefault="00F20AA6"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非工作</w:t>
            </w:r>
            <w:r w:rsidR="00CE7E9B" w:rsidRPr="00F20AA6">
              <w:rPr>
                <w:rFonts w:ascii="仿宋" w:eastAsia="仿宋" w:hAnsi="仿宋" w:cs="宋体" w:hint="eastAsia"/>
                <w:color w:val="000000"/>
                <w:kern w:val="0"/>
                <w:sz w:val="18"/>
                <w:szCs w:val="18"/>
              </w:rPr>
              <w:t>日Wh/m</w:t>
            </w:r>
            <w:r w:rsidR="00CE7E9B" w:rsidRPr="00F20AA6">
              <w:rPr>
                <w:rFonts w:ascii="仿宋" w:eastAsia="仿宋" w:hAnsi="仿宋" w:cs="宋体" w:hint="eastAsia"/>
                <w:color w:val="000000"/>
                <w:kern w:val="0"/>
                <w:sz w:val="18"/>
                <w:szCs w:val="18"/>
                <w:vertAlign w:val="superscript"/>
              </w:rPr>
              <w:t>2</w:t>
            </w:r>
          </w:p>
        </w:tc>
        <w:tc>
          <w:tcPr>
            <w:tcW w:w="0" w:type="auto"/>
            <w:shd w:val="clear" w:color="auto" w:fill="auto"/>
            <w:vAlign w:val="center"/>
            <w:hideMark/>
          </w:tcPr>
          <w:p w:rsidR="00CE7E9B" w:rsidRPr="00F20AA6" w:rsidRDefault="00CE7E9B"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差异</w:t>
            </w:r>
          </w:p>
          <w:p w:rsidR="00CE7E9B" w:rsidRPr="00F20AA6" w:rsidRDefault="00CE7E9B"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w:t>
            </w:r>
          </w:p>
        </w:tc>
        <w:tc>
          <w:tcPr>
            <w:tcW w:w="0" w:type="auto"/>
            <w:shd w:val="clear" w:color="auto" w:fill="auto"/>
            <w:vAlign w:val="center"/>
            <w:hideMark/>
          </w:tcPr>
          <w:p w:rsidR="00CE7E9B" w:rsidRPr="00F20AA6" w:rsidRDefault="00CE7E9B"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工作日Wh/m</w:t>
            </w:r>
            <w:r w:rsidRPr="00F20AA6">
              <w:rPr>
                <w:rFonts w:ascii="仿宋" w:eastAsia="仿宋" w:hAnsi="仿宋" w:cs="宋体" w:hint="eastAsia"/>
                <w:color w:val="000000"/>
                <w:kern w:val="0"/>
                <w:sz w:val="18"/>
                <w:szCs w:val="18"/>
                <w:vertAlign w:val="superscript"/>
              </w:rPr>
              <w:t>2</w:t>
            </w:r>
          </w:p>
        </w:tc>
        <w:tc>
          <w:tcPr>
            <w:tcW w:w="0" w:type="auto"/>
            <w:shd w:val="clear" w:color="auto" w:fill="auto"/>
            <w:vAlign w:val="center"/>
            <w:hideMark/>
          </w:tcPr>
          <w:p w:rsidR="00CE7E9B" w:rsidRPr="00F20AA6" w:rsidRDefault="007B075A" w:rsidP="00CE7E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非工作</w:t>
            </w:r>
            <w:r w:rsidR="00CE7E9B" w:rsidRPr="00F20AA6">
              <w:rPr>
                <w:rFonts w:ascii="仿宋" w:eastAsia="仿宋" w:hAnsi="仿宋" w:cs="宋体" w:hint="eastAsia"/>
                <w:color w:val="000000"/>
                <w:kern w:val="0"/>
                <w:sz w:val="18"/>
                <w:szCs w:val="18"/>
              </w:rPr>
              <w:t>日Wh/m</w:t>
            </w:r>
            <w:r w:rsidR="00CE7E9B" w:rsidRPr="00F20AA6">
              <w:rPr>
                <w:rFonts w:ascii="仿宋" w:eastAsia="仿宋" w:hAnsi="仿宋" w:cs="宋体" w:hint="eastAsia"/>
                <w:color w:val="000000"/>
                <w:kern w:val="0"/>
                <w:sz w:val="18"/>
                <w:szCs w:val="18"/>
                <w:vertAlign w:val="superscript"/>
              </w:rPr>
              <w:t>2</w:t>
            </w:r>
          </w:p>
        </w:tc>
        <w:tc>
          <w:tcPr>
            <w:tcW w:w="0" w:type="auto"/>
            <w:shd w:val="clear" w:color="auto" w:fill="auto"/>
            <w:vAlign w:val="center"/>
            <w:hideMark/>
          </w:tcPr>
          <w:p w:rsidR="00CE7E9B" w:rsidRPr="00F20AA6" w:rsidRDefault="00CE7E9B"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差异</w:t>
            </w:r>
            <w:r w:rsidRPr="00F20AA6">
              <w:rPr>
                <w:rFonts w:ascii="仿宋" w:eastAsia="仿宋" w:hAnsi="仿宋" w:cs="宋体" w:hint="eastAsia"/>
                <w:color w:val="000000"/>
                <w:kern w:val="0"/>
                <w:sz w:val="18"/>
                <w:szCs w:val="18"/>
              </w:rPr>
              <w:br/>
              <w:t>%</w:t>
            </w:r>
          </w:p>
        </w:tc>
        <w:tc>
          <w:tcPr>
            <w:tcW w:w="0" w:type="auto"/>
            <w:shd w:val="clear" w:color="auto" w:fill="auto"/>
            <w:vAlign w:val="center"/>
            <w:hideMark/>
          </w:tcPr>
          <w:p w:rsidR="00CE7E9B" w:rsidRPr="00F20AA6" w:rsidRDefault="00CE7E9B"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工作日Wh/m</w:t>
            </w:r>
            <w:r w:rsidRPr="00F20AA6">
              <w:rPr>
                <w:rFonts w:ascii="仿宋" w:eastAsia="仿宋" w:hAnsi="仿宋" w:cs="宋体" w:hint="eastAsia"/>
                <w:color w:val="000000"/>
                <w:kern w:val="0"/>
                <w:sz w:val="18"/>
                <w:szCs w:val="18"/>
                <w:vertAlign w:val="superscript"/>
              </w:rPr>
              <w:t>2</w:t>
            </w:r>
          </w:p>
        </w:tc>
        <w:tc>
          <w:tcPr>
            <w:tcW w:w="0" w:type="auto"/>
            <w:shd w:val="clear" w:color="auto" w:fill="auto"/>
            <w:vAlign w:val="center"/>
            <w:hideMark/>
          </w:tcPr>
          <w:p w:rsidR="00CE7E9B" w:rsidRPr="00F20AA6" w:rsidRDefault="007B075A" w:rsidP="00CE7E9B">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非工作</w:t>
            </w:r>
            <w:r w:rsidR="00CE7E9B" w:rsidRPr="00F20AA6">
              <w:rPr>
                <w:rFonts w:ascii="仿宋" w:eastAsia="仿宋" w:hAnsi="仿宋" w:cs="宋体" w:hint="eastAsia"/>
                <w:color w:val="000000"/>
                <w:kern w:val="0"/>
                <w:sz w:val="18"/>
                <w:szCs w:val="18"/>
              </w:rPr>
              <w:t>日Wh/m</w:t>
            </w:r>
            <w:r w:rsidR="00CE7E9B" w:rsidRPr="00F20AA6">
              <w:rPr>
                <w:rFonts w:ascii="仿宋" w:eastAsia="仿宋" w:hAnsi="仿宋" w:cs="宋体" w:hint="eastAsia"/>
                <w:color w:val="000000"/>
                <w:kern w:val="0"/>
                <w:sz w:val="18"/>
                <w:szCs w:val="18"/>
                <w:vertAlign w:val="superscript"/>
              </w:rPr>
              <w:t>2</w:t>
            </w:r>
          </w:p>
        </w:tc>
        <w:tc>
          <w:tcPr>
            <w:tcW w:w="0" w:type="auto"/>
            <w:shd w:val="clear" w:color="auto" w:fill="auto"/>
            <w:vAlign w:val="center"/>
            <w:hideMark/>
          </w:tcPr>
          <w:p w:rsidR="00CE7E9B" w:rsidRPr="00F20AA6" w:rsidRDefault="00CE7E9B" w:rsidP="00CE7E9B">
            <w:pPr>
              <w:widowControl/>
              <w:jc w:val="center"/>
              <w:rPr>
                <w:rFonts w:ascii="仿宋" w:eastAsia="仿宋" w:hAnsi="仿宋" w:cs="宋体"/>
                <w:color w:val="000000"/>
                <w:kern w:val="0"/>
                <w:sz w:val="18"/>
                <w:szCs w:val="18"/>
              </w:rPr>
            </w:pPr>
            <w:r w:rsidRPr="00F20AA6">
              <w:rPr>
                <w:rFonts w:ascii="仿宋" w:eastAsia="仿宋" w:hAnsi="仿宋" w:cs="宋体" w:hint="eastAsia"/>
                <w:color w:val="000000"/>
                <w:kern w:val="0"/>
                <w:sz w:val="18"/>
                <w:szCs w:val="18"/>
              </w:rPr>
              <w:t>差异</w:t>
            </w:r>
            <w:r w:rsidRPr="00F20AA6">
              <w:rPr>
                <w:rFonts w:ascii="仿宋" w:eastAsia="仿宋" w:hAnsi="仿宋" w:cs="宋体" w:hint="eastAsia"/>
                <w:color w:val="000000"/>
                <w:kern w:val="0"/>
                <w:sz w:val="18"/>
                <w:szCs w:val="18"/>
              </w:rPr>
              <w:br/>
              <w:t>%</w:t>
            </w:r>
          </w:p>
        </w:tc>
      </w:tr>
      <w:tr w:rsidR="00CE7E9B" w:rsidRPr="00F20AA6" w:rsidTr="00B30D92">
        <w:trPr>
          <w:trHeight w:val="280"/>
          <w:jc w:val="center"/>
        </w:trPr>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机关办公</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324</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171</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89.5</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184</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135</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36.3</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230</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122</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88.5</w:t>
            </w:r>
          </w:p>
        </w:tc>
      </w:tr>
      <w:tr w:rsidR="00CE7E9B" w:rsidRPr="00F20AA6" w:rsidTr="00B30D92">
        <w:trPr>
          <w:trHeight w:val="280"/>
          <w:jc w:val="center"/>
        </w:trPr>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办公</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350</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197</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77.7</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220</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161</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36.6</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264</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161</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64.0</w:t>
            </w:r>
          </w:p>
        </w:tc>
      </w:tr>
      <w:tr w:rsidR="00CE7E9B" w:rsidRPr="00F20AA6" w:rsidTr="00B30D92">
        <w:trPr>
          <w:trHeight w:val="280"/>
          <w:jc w:val="center"/>
        </w:trPr>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旅游饭店</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406</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390</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4.1</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315</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363</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-13.2</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305</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298</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2.3</w:t>
            </w:r>
          </w:p>
        </w:tc>
      </w:tr>
      <w:tr w:rsidR="00CE7E9B" w:rsidRPr="00F20AA6" w:rsidTr="00B30D92">
        <w:trPr>
          <w:trHeight w:val="280"/>
          <w:jc w:val="center"/>
        </w:trPr>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商场</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478</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477</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0.2</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338</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401</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-15.7</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384</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378</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1.6</w:t>
            </w:r>
          </w:p>
        </w:tc>
      </w:tr>
      <w:tr w:rsidR="00CE7E9B" w:rsidRPr="00F20AA6" w:rsidTr="00B30D92">
        <w:trPr>
          <w:trHeight w:val="280"/>
          <w:jc w:val="center"/>
        </w:trPr>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卫生</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432</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368</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17.4</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305</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262</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16.4</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357</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308</w:t>
            </w:r>
          </w:p>
        </w:tc>
        <w:tc>
          <w:tcPr>
            <w:tcW w:w="0" w:type="auto"/>
            <w:shd w:val="clear" w:color="auto" w:fill="auto"/>
            <w:noWrap/>
            <w:vAlign w:val="center"/>
            <w:hideMark/>
          </w:tcPr>
          <w:p w:rsidR="00CE7E9B" w:rsidRPr="00F20AA6" w:rsidRDefault="00CE7E9B" w:rsidP="00CE7E9B">
            <w:pPr>
              <w:widowControl/>
              <w:jc w:val="center"/>
              <w:rPr>
                <w:rFonts w:ascii="仿宋" w:eastAsia="仿宋" w:hAnsi="仿宋" w:cs="宋体"/>
                <w:color w:val="000000"/>
                <w:kern w:val="0"/>
                <w:szCs w:val="21"/>
              </w:rPr>
            </w:pPr>
            <w:r w:rsidRPr="00F20AA6">
              <w:rPr>
                <w:rFonts w:ascii="仿宋" w:eastAsia="仿宋" w:hAnsi="仿宋" w:cs="宋体" w:hint="eastAsia"/>
                <w:color w:val="000000"/>
                <w:kern w:val="0"/>
                <w:szCs w:val="21"/>
              </w:rPr>
              <w:t>15.9</w:t>
            </w:r>
          </w:p>
        </w:tc>
      </w:tr>
    </w:tbl>
    <w:p w:rsidR="00CE7E9B" w:rsidRPr="00B144F1" w:rsidRDefault="00CA7F00" w:rsidP="00DB66EC">
      <w:pPr>
        <w:spacing w:afterLines="50"/>
        <w:jc w:val="left"/>
        <w:rPr>
          <w:rFonts w:ascii="Times New Roman" w:eastAsia="仿宋_GB2312" w:hAnsi="Times New Roman"/>
          <w:color w:val="000000" w:themeColor="text1"/>
          <w:szCs w:val="21"/>
        </w:rPr>
      </w:pPr>
      <w:r w:rsidRPr="00B144F1">
        <w:rPr>
          <w:rFonts w:ascii="Times New Roman" w:eastAsia="仿宋_GB2312" w:hAnsi="Times New Roman" w:hint="eastAsia"/>
          <w:color w:val="000000" w:themeColor="text1"/>
          <w:szCs w:val="21"/>
        </w:rPr>
        <w:t>注：差异</w:t>
      </w:r>
      <w:r w:rsidRPr="00B144F1">
        <w:rPr>
          <w:rFonts w:ascii="Times New Roman" w:eastAsia="仿宋_GB2312" w:hAnsi="Times New Roman" w:hint="eastAsia"/>
          <w:color w:val="000000" w:themeColor="text1"/>
          <w:szCs w:val="21"/>
        </w:rPr>
        <w:t>=</w:t>
      </w:r>
      <w:r w:rsidRPr="00B144F1">
        <w:rPr>
          <w:rFonts w:ascii="Times New Roman" w:eastAsia="仿宋_GB2312" w:hAnsi="Times New Roman" w:hint="eastAsia"/>
          <w:color w:val="000000" w:themeColor="text1"/>
          <w:szCs w:val="21"/>
        </w:rPr>
        <w:t>（工作日</w:t>
      </w:r>
      <w:r w:rsidRPr="00B144F1">
        <w:rPr>
          <w:rFonts w:ascii="Times New Roman" w:eastAsia="仿宋_GB2312" w:hAnsi="Times New Roman" w:hint="eastAsia"/>
          <w:color w:val="000000" w:themeColor="text1"/>
          <w:szCs w:val="21"/>
        </w:rPr>
        <w:t>-</w:t>
      </w:r>
      <w:r w:rsidR="00675822" w:rsidRPr="00B144F1">
        <w:rPr>
          <w:rFonts w:ascii="Times New Roman" w:eastAsia="仿宋_GB2312" w:hAnsi="Times New Roman" w:hint="eastAsia"/>
          <w:color w:val="000000" w:themeColor="text1"/>
          <w:szCs w:val="21"/>
        </w:rPr>
        <w:t>非工作</w:t>
      </w:r>
      <w:r w:rsidRPr="00B144F1">
        <w:rPr>
          <w:rFonts w:ascii="Times New Roman" w:eastAsia="仿宋_GB2312" w:hAnsi="Times New Roman" w:hint="eastAsia"/>
          <w:color w:val="000000" w:themeColor="text1"/>
          <w:szCs w:val="21"/>
        </w:rPr>
        <w:t>日）</w:t>
      </w:r>
      <w:r w:rsidRPr="00B144F1">
        <w:rPr>
          <w:rFonts w:ascii="Times New Roman" w:eastAsia="仿宋_GB2312" w:hAnsi="Times New Roman" w:hint="eastAsia"/>
          <w:color w:val="000000" w:themeColor="text1"/>
          <w:szCs w:val="21"/>
        </w:rPr>
        <w:t>/</w:t>
      </w:r>
      <w:r w:rsidR="00F20AA6" w:rsidRPr="00B144F1">
        <w:rPr>
          <w:rFonts w:ascii="Times New Roman" w:eastAsia="仿宋_GB2312" w:hAnsi="Times New Roman" w:hint="eastAsia"/>
          <w:color w:val="000000" w:themeColor="text1"/>
          <w:szCs w:val="21"/>
        </w:rPr>
        <w:t>非工作</w:t>
      </w:r>
      <w:r w:rsidRPr="00B144F1">
        <w:rPr>
          <w:rFonts w:ascii="Times New Roman" w:eastAsia="仿宋_GB2312" w:hAnsi="Times New Roman" w:hint="eastAsia"/>
          <w:color w:val="000000" w:themeColor="text1"/>
          <w:szCs w:val="21"/>
        </w:rPr>
        <w:t>日</w:t>
      </w:r>
    </w:p>
    <w:p w:rsidR="001D324C" w:rsidRPr="001D324C" w:rsidRDefault="001D324C" w:rsidP="00573540">
      <w:pPr>
        <w:pStyle w:val="3"/>
        <w:spacing w:before="0" w:after="0" w:line="415" w:lineRule="auto"/>
        <w:rPr>
          <w:rFonts w:ascii="黑体" w:eastAsia="黑体" w:hAnsi="黑体" w:cstheme="minorBidi"/>
          <w:bCs w:val="0"/>
          <w:sz w:val="30"/>
          <w:szCs w:val="30"/>
        </w:rPr>
      </w:pPr>
      <w:bookmarkStart w:id="22" w:name="_Toc479753014"/>
      <w:r w:rsidRPr="001D324C">
        <w:rPr>
          <w:rFonts w:ascii="黑体" w:eastAsia="黑体" w:hAnsi="黑体" w:cstheme="minorBidi" w:hint="eastAsia"/>
          <w:bCs w:val="0"/>
          <w:sz w:val="30"/>
          <w:szCs w:val="30"/>
        </w:rPr>
        <w:t>4</w:t>
      </w:r>
      <w:r w:rsidR="0046354C">
        <w:rPr>
          <w:rFonts w:ascii="黑体" w:eastAsia="黑体" w:hAnsi="黑体" w:cstheme="minorBidi" w:hint="eastAsia"/>
          <w:bCs w:val="0"/>
          <w:sz w:val="30"/>
          <w:szCs w:val="30"/>
        </w:rPr>
        <w:t>、</w:t>
      </w:r>
      <w:r w:rsidR="00D1278E">
        <w:rPr>
          <w:rFonts w:ascii="黑体" w:eastAsia="黑体" w:hAnsi="黑体" w:cstheme="minorBidi" w:hint="eastAsia"/>
          <w:bCs w:val="0"/>
          <w:sz w:val="30"/>
          <w:szCs w:val="30"/>
        </w:rPr>
        <w:t>主要</w:t>
      </w:r>
      <w:r w:rsidRPr="001D324C">
        <w:rPr>
          <w:rFonts w:ascii="黑体" w:eastAsia="黑体" w:hAnsi="黑体" w:cstheme="minorBidi" w:hint="eastAsia"/>
          <w:bCs w:val="0"/>
          <w:sz w:val="30"/>
          <w:szCs w:val="30"/>
        </w:rPr>
        <w:t>类型建筑分项用</w:t>
      </w:r>
      <w:r w:rsidR="00675822">
        <w:rPr>
          <w:rFonts w:ascii="黑体" w:eastAsia="黑体" w:hAnsi="黑体" w:cstheme="minorBidi" w:hint="eastAsia"/>
          <w:bCs w:val="0"/>
          <w:sz w:val="30"/>
          <w:szCs w:val="30"/>
        </w:rPr>
        <w:t>电</w:t>
      </w:r>
      <w:r w:rsidRPr="001D324C">
        <w:rPr>
          <w:rFonts w:ascii="黑体" w:eastAsia="黑体" w:hAnsi="黑体" w:cstheme="minorBidi" w:hint="eastAsia"/>
          <w:bCs w:val="0"/>
          <w:sz w:val="30"/>
          <w:szCs w:val="30"/>
        </w:rPr>
        <w:t>占比情况</w:t>
      </w:r>
      <w:bookmarkEnd w:id="22"/>
    </w:p>
    <w:p w:rsidR="001D324C" w:rsidRDefault="00FD3DEF" w:rsidP="00E82E10">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从</w:t>
      </w:r>
      <w:r w:rsidR="00223998">
        <w:rPr>
          <w:rFonts w:ascii="仿宋_GB2312" w:eastAsia="仿宋_GB2312" w:hAnsi="仿宋" w:cstheme="minorBidi" w:hint="eastAsia"/>
          <w:sz w:val="30"/>
          <w:szCs w:val="30"/>
        </w:rPr>
        <w:t>主要</w:t>
      </w:r>
      <w:r>
        <w:rPr>
          <w:rFonts w:ascii="仿宋_GB2312" w:eastAsia="仿宋_GB2312" w:hAnsi="仿宋" w:cstheme="minorBidi" w:hint="eastAsia"/>
          <w:sz w:val="30"/>
          <w:szCs w:val="30"/>
        </w:rPr>
        <w:t>类型建筑</w:t>
      </w:r>
      <w:r w:rsidR="004E36CB">
        <w:rPr>
          <w:rFonts w:ascii="仿宋_GB2312" w:eastAsia="仿宋_GB2312" w:hAnsi="仿宋" w:cstheme="minorBidi" w:hint="eastAsia"/>
          <w:sz w:val="30"/>
          <w:szCs w:val="30"/>
        </w:rPr>
        <w:t>2016年</w:t>
      </w:r>
      <w:r w:rsidR="0046354C">
        <w:rPr>
          <w:rFonts w:ascii="仿宋_GB2312" w:eastAsia="仿宋_GB2312" w:hAnsi="仿宋" w:cstheme="minorBidi" w:hint="eastAsia"/>
          <w:sz w:val="30"/>
          <w:szCs w:val="30"/>
        </w:rPr>
        <w:t>分项</w:t>
      </w:r>
      <w:r>
        <w:rPr>
          <w:rFonts w:ascii="仿宋_GB2312" w:eastAsia="仿宋_GB2312" w:hAnsi="仿宋" w:cstheme="minorBidi" w:hint="eastAsia"/>
          <w:sz w:val="30"/>
          <w:szCs w:val="30"/>
        </w:rPr>
        <w:t>用电占比来看，</w:t>
      </w:r>
      <w:r w:rsidR="0046354C">
        <w:rPr>
          <w:rFonts w:ascii="仿宋_GB2312" w:eastAsia="仿宋_GB2312" w:hAnsi="仿宋" w:cstheme="minorBidi" w:hint="eastAsia"/>
          <w:sz w:val="30"/>
          <w:szCs w:val="30"/>
        </w:rPr>
        <w:t>照明</w:t>
      </w:r>
      <w:r w:rsidR="00257607">
        <w:rPr>
          <w:rFonts w:ascii="仿宋_GB2312" w:eastAsia="仿宋_GB2312" w:hAnsi="仿宋" w:cstheme="minorBidi" w:hint="eastAsia"/>
          <w:sz w:val="30"/>
          <w:szCs w:val="30"/>
        </w:rPr>
        <w:t>与</w:t>
      </w:r>
      <w:r w:rsidR="0046354C">
        <w:rPr>
          <w:rFonts w:ascii="仿宋_GB2312" w:eastAsia="仿宋_GB2312" w:hAnsi="仿宋" w:cstheme="minorBidi" w:hint="eastAsia"/>
          <w:sz w:val="30"/>
          <w:szCs w:val="30"/>
        </w:rPr>
        <w:t>插座用电</w:t>
      </w:r>
      <w:r w:rsidR="00257607">
        <w:rPr>
          <w:rFonts w:ascii="仿宋_GB2312" w:eastAsia="仿宋_GB2312" w:hAnsi="仿宋" w:cstheme="minorBidi" w:hint="eastAsia"/>
          <w:sz w:val="30"/>
          <w:szCs w:val="30"/>
        </w:rPr>
        <w:t>、</w:t>
      </w:r>
      <w:r w:rsidR="0046354C">
        <w:rPr>
          <w:rFonts w:ascii="仿宋_GB2312" w:eastAsia="仿宋_GB2312" w:hAnsi="仿宋" w:cstheme="minorBidi" w:hint="eastAsia"/>
          <w:sz w:val="30"/>
          <w:szCs w:val="30"/>
        </w:rPr>
        <w:t>空调用电为</w:t>
      </w:r>
      <w:r w:rsidR="00A12A60">
        <w:rPr>
          <w:rFonts w:ascii="仿宋_GB2312" w:eastAsia="仿宋_GB2312" w:hAnsi="仿宋" w:cstheme="minorBidi" w:hint="eastAsia"/>
          <w:sz w:val="30"/>
          <w:szCs w:val="30"/>
        </w:rPr>
        <w:t>主要</w:t>
      </w:r>
      <w:r w:rsidR="0046354C">
        <w:rPr>
          <w:rFonts w:ascii="仿宋_GB2312" w:eastAsia="仿宋_GB2312" w:hAnsi="仿宋" w:cstheme="minorBidi" w:hint="eastAsia"/>
          <w:sz w:val="30"/>
          <w:szCs w:val="30"/>
        </w:rPr>
        <w:t>用电分项，各类型建筑</w:t>
      </w:r>
      <w:r w:rsidR="00257607">
        <w:rPr>
          <w:rFonts w:ascii="仿宋_GB2312" w:eastAsia="仿宋_GB2312" w:hAnsi="仿宋" w:cstheme="minorBidi" w:hint="eastAsia"/>
          <w:sz w:val="30"/>
          <w:szCs w:val="30"/>
        </w:rPr>
        <w:t>这</w:t>
      </w:r>
      <w:r w:rsidR="0046354C">
        <w:rPr>
          <w:rFonts w:ascii="仿宋_GB2312" w:eastAsia="仿宋_GB2312" w:hAnsi="仿宋" w:cstheme="minorBidi" w:hint="eastAsia"/>
          <w:sz w:val="30"/>
          <w:szCs w:val="30"/>
        </w:rPr>
        <w:t>两项之和均超过</w:t>
      </w:r>
      <w:r w:rsidR="001701E5">
        <w:rPr>
          <w:rFonts w:ascii="仿宋_GB2312" w:eastAsia="仿宋_GB2312" w:hAnsi="仿宋" w:cstheme="minorBidi" w:hint="eastAsia"/>
          <w:sz w:val="30"/>
          <w:szCs w:val="30"/>
        </w:rPr>
        <w:t>总用电</w:t>
      </w:r>
      <w:r w:rsidR="00A12A60">
        <w:rPr>
          <w:rFonts w:ascii="仿宋_GB2312" w:eastAsia="仿宋_GB2312" w:hAnsi="仿宋" w:cstheme="minorBidi" w:hint="eastAsia"/>
          <w:sz w:val="30"/>
          <w:szCs w:val="30"/>
        </w:rPr>
        <w:t>量</w:t>
      </w:r>
      <w:r w:rsidR="001701E5">
        <w:rPr>
          <w:rFonts w:ascii="仿宋_GB2312" w:eastAsia="仿宋_GB2312" w:hAnsi="仿宋" w:cstheme="minorBidi" w:hint="eastAsia"/>
          <w:sz w:val="30"/>
          <w:szCs w:val="30"/>
        </w:rPr>
        <w:t>的</w:t>
      </w:r>
      <w:r w:rsidR="0046354C">
        <w:rPr>
          <w:rFonts w:ascii="仿宋_GB2312" w:eastAsia="仿宋_GB2312" w:hAnsi="仿宋" w:cstheme="minorBidi"/>
          <w:sz w:val="30"/>
          <w:szCs w:val="30"/>
        </w:rPr>
        <w:t>65</w:t>
      </w:r>
      <w:r w:rsidR="0046354C">
        <w:rPr>
          <w:rFonts w:ascii="仿宋_GB2312" w:eastAsia="仿宋_GB2312" w:hAnsi="仿宋" w:cstheme="minorBidi" w:hint="eastAsia"/>
          <w:sz w:val="30"/>
          <w:szCs w:val="30"/>
        </w:rPr>
        <w:t>%</w:t>
      </w:r>
      <w:r w:rsidR="004E36CB">
        <w:rPr>
          <w:rFonts w:ascii="仿宋_GB2312" w:eastAsia="仿宋_GB2312" w:hAnsi="仿宋" w:cstheme="minorBidi" w:hint="eastAsia"/>
          <w:sz w:val="30"/>
          <w:szCs w:val="30"/>
        </w:rPr>
        <w:t>，如</w:t>
      </w:r>
      <w:r w:rsidR="004E36CB" w:rsidRPr="00712CA6">
        <w:rPr>
          <w:rFonts w:ascii="仿宋_GB2312" w:eastAsia="仿宋_GB2312" w:hAnsi="仿宋" w:cstheme="minorBidi" w:hint="eastAsia"/>
          <w:sz w:val="30"/>
          <w:szCs w:val="30"/>
        </w:rPr>
        <w:t>图</w:t>
      </w:r>
      <w:r w:rsidR="00712CA6">
        <w:rPr>
          <w:rFonts w:ascii="仿宋_GB2312" w:eastAsia="仿宋_GB2312" w:hAnsi="仿宋" w:cstheme="minorBidi"/>
          <w:sz w:val="30"/>
          <w:szCs w:val="30"/>
        </w:rPr>
        <w:t>16</w:t>
      </w:r>
      <w:r w:rsidR="004E36CB">
        <w:rPr>
          <w:rFonts w:ascii="仿宋_GB2312" w:eastAsia="仿宋_GB2312" w:hAnsi="仿宋" w:cstheme="minorBidi" w:hint="eastAsia"/>
          <w:sz w:val="30"/>
          <w:szCs w:val="30"/>
        </w:rPr>
        <w:t>所示</w:t>
      </w:r>
      <w:r w:rsidR="00257607">
        <w:rPr>
          <w:rFonts w:ascii="仿宋_GB2312" w:eastAsia="仿宋_GB2312" w:hAnsi="仿宋" w:cstheme="minorBidi" w:hint="eastAsia"/>
          <w:sz w:val="30"/>
          <w:szCs w:val="30"/>
        </w:rPr>
        <w:t>。</w:t>
      </w:r>
      <w:r w:rsidR="001701E5">
        <w:rPr>
          <w:rFonts w:ascii="仿宋_GB2312" w:eastAsia="仿宋_GB2312" w:hAnsi="仿宋" w:cstheme="minorBidi" w:hint="eastAsia"/>
          <w:sz w:val="30"/>
          <w:szCs w:val="30"/>
        </w:rPr>
        <w:t>其中，</w:t>
      </w:r>
      <w:r>
        <w:rPr>
          <w:rFonts w:ascii="仿宋_GB2312" w:eastAsia="仿宋_GB2312" w:hAnsi="仿宋" w:cstheme="minorBidi" w:hint="eastAsia"/>
          <w:sz w:val="30"/>
          <w:szCs w:val="30"/>
        </w:rPr>
        <w:t>空调用电占比最高的</w:t>
      </w:r>
      <w:r w:rsidR="00257607">
        <w:rPr>
          <w:rFonts w:ascii="仿宋_GB2312" w:eastAsia="仿宋_GB2312" w:hAnsi="仿宋" w:cstheme="minorBidi" w:hint="eastAsia"/>
          <w:sz w:val="30"/>
          <w:szCs w:val="30"/>
        </w:rPr>
        <w:t>为</w:t>
      </w:r>
      <w:r>
        <w:rPr>
          <w:rFonts w:ascii="仿宋_GB2312" w:eastAsia="仿宋_GB2312" w:hAnsi="仿宋" w:cstheme="minorBidi" w:hint="eastAsia"/>
          <w:sz w:val="30"/>
          <w:szCs w:val="30"/>
        </w:rPr>
        <w:t>卫生建筑，</w:t>
      </w:r>
      <w:r w:rsidR="00A12A60">
        <w:rPr>
          <w:rFonts w:ascii="仿宋_GB2312" w:eastAsia="仿宋_GB2312" w:hAnsi="仿宋" w:cstheme="minorBidi" w:hint="eastAsia"/>
          <w:sz w:val="30"/>
          <w:szCs w:val="30"/>
        </w:rPr>
        <w:t>这是</w:t>
      </w:r>
      <w:r w:rsidR="00A12A60">
        <w:rPr>
          <w:rFonts w:ascii="仿宋_GB2312" w:eastAsia="仿宋_GB2312" w:hAnsi="仿宋" w:cstheme="minorBidi"/>
          <w:sz w:val="30"/>
          <w:szCs w:val="30"/>
        </w:rPr>
        <w:t>由于其</w:t>
      </w:r>
      <w:r w:rsidR="00A12A60">
        <w:rPr>
          <w:rFonts w:ascii="仿宋_GB2312" w:eastAsia="仿宋_GB2312" w:hAnsi="仿宋" w:cstheme="minorBidi" w:hint="eastAsia"/>
          <w:sz w:val="30"/>
          <w:szCs w:val="30"/>
        </w:rPr>
        <w:t>人员流动性和</w:t>
      </w:r>
      <w:r w:rsidR="00A12A60">
        <w:rPr>
          <w:rFonts w:ascii="仿宋_GB2312" w:eastAsia="仿宋_GB2312" w:hAnsi="仿宋" w:cstheme="minorBidi"/>
          <w:sz w:val="30"/>
          <w:szCs w:val="30"/>
        </w:rPr>
        <w:t>密度</w:t>
      </w:r>
      <w:r w:rsidR="00A12A60">
        <w:rPr>
          <w:rFonts w:ascii="仿宋_GB2312" w:eastAsia="仿宋_GB2312" w:hAnsi="仿宋" w:cstheme="minorBidi" w:hint="eastAsia"/>
          <w:sz w:val="30"/>
          <w:szCs w:val="30"/>
        </w:rPr>
        <w:t>、</w:t>
      </w:r>
      <w:r w:rsidR="00A12A60">
        <w:rPr>
          <w:rFonts w:ascii="仿宋_GB2312" w:eastAsia="仿宋_GB2312" w:hAnsi="仿宋" w:cstheme="minorBidi"/>
          <w:sz w:val="30"/>
          <w:szCs w:val="30"/>
        </w:rPr>
        <w:t>室内空气质量</w:t>
      </w:r>
      <w:r w:rsidR="00A12A60">
        <w:rPr>
          <w:rFonts w:ascii="仿宋_GB2312" w:eastAsia="仿宋_GB2312" w:hAnsi="仿宋" w:cstheme="minorBidi" w:hint="eastAsia"/>
          <w:sz w:val="30"/>
          <w:szCs w:val="30"/>
        </w:rPr>
        <w:t>要求所导致</w:t>
      </w:r>
      <w:r w:rsidR="00A12A60">
        <w:rPr>
          <w:rFonts w:ascii="仿宋_GB2312" w:eastAsia="仿宋_GB2312" w:hAnsi="仿宋" w:cstheme="minorBidi"/>
          <w:sz w:val="30"/>
          <w:szCs w:val="30"/>
        </w:rPr>
        <w:t>的全年</w:t>
      </w:r>
      <w:r w:rsidR="00A12A60">
        <w:rPr>
          <w:rFonts w:ascii="仿宋_GB2312" w:eastAsia="仿宋_GB2312" w:hAnsi="仿宋" w:cstheme="minorBidi" w:hint="eastAsia"/>
          <w:sz w:val="30"/>
          <w:szCs w:val="30"/>
        </w:rPr>
        <w:t>制冷</w:t>
      </w:r>
      <w:r w:rsidR="00A12A60">
        <w:rPr>
          <w:rFonts w:ascii="仿宋_GB2312" w:eastAsia="仿宋_GB2312" w:hAnsi="仿宋" w:cstheme="minorBidi"/>
          <w:sz w:val="30"/>
          <w:szCs w:val="30"/>
        </w:rPr>
        <w:t>采暖需求高于</w:t>
      </w:r>
      <w:r w:rsidR="00A12A60">
        <w:rPr>
          <w:rFonts w:ascii="仿宋_GB2312" w:eastAsia="仿宋_GB2312" w:hAnsi="仿宋" w:cstheme="minorBidi" w:hint="eastAsia"/>
          <w:sz w:val="30"/>
          <w:szCs w:val="30"/>
        </w:rPr>
        <w:t>其他</w:t>
      </w:r>
      <w:r w:rsidR="00A12A60">
        <w:rPr>
          <w:rFonts w:ascii="仿宋_GB2312" w:eastAsia="仿宋_GB2312" w:hAnsi="仿宋" w:cstheme="minorBidi"/>
          <w:sz w:val="30"/>
          <w:szCs w:val="30"/>
        </w:rPr>
        <w:t>类型建筑</w:t>
      </w:r>
      <w:r w:rsidR="00257607">
        <w:rPr>
          <w:rFonts w:ascii="仿宋_GB2312" w:eastAsia="仿宋_GB2312" w:hAnsi="仿宋" w:cstheme="minorBidi" w:hint="eastAsia"/>
          <w:sz w:val="30"/>
          <w:szCs w:val="30"/>
        </w:rPr>
        <w:t>。照明</w:t>
      </w:r>
      <w:r w:rsidR="004E36CB">
        <w:rPr>
          <w:rFonts w:ascii="仿宋_GB2312" w:eastAsia="仿宋_GB2312" w:hAnsi="仿宋" w:cstheme="minorBidi" w:hint="eastAsia"/>
          <w:sz w:val="30"/>
          <w:szCs w:val="30"/>
        </w:rPr>
        <w:t>与</w:t>
      </w:r>
      <w:r>
        <w:rPr>
          <w:rFonts w:ascii="仿宋_GB2312" w:eastAsia="仿宋_GB2312" w:hAnsi="仿宋" w:cstheme="minorBidi" w:hint="eastAsia"/>
          <w:sz w:val="30"/>
          <w:szCs w:val="30"/>
        </w:rPr>
        <w:t>插座用电占比最高的</w:t>
      </w:r>
      <w:r w:rsidR="004E36CB">
        <w:rPr>
          <w:rFonts w:ascii="仿宋_GB2312" w:eastAsia="仿宋_GB2312" w:hAnsi="仿宋" w:cstheme="minorBidi" w:hint="eastAsia"/>
          <w:sz w:val="30"/>
          <w:szCs w:val="30"/>
        </w:rPr>
        <w:t>为商场</w:t>
      </w:r>
      <w:r>
        <w:rPr>
          <w:rFonts w:ascii="仿宋_GB2312" w:eastAsia="仿宋_GB2312" w:hAnsi="仿宋" w:cstheme="minorBidi" w:hint="eastAsia"/>
          <w:sz w:val="30"/>
          <w:szCs w:val="30"/>
        </w:rPr>
        <w:t>建筑</w:t>
      </w:r>
      <w:r w:rsidR="00E82E10">
        <w:rPr>
          <w:rFonts w:ascii="仿宋_GB2312" w:eastAsia="仿宋_GB2312" w:hAnsi="仿宋" w:cstheme="minorBidi" w:hint="eastAsia"/>
          <w:sz w:val="30"/>
          <w:szCs w:val="30"/>
        </w:rPr>
        <w:t>，</w:t>
      </w:r>
      <w:r w:rsidR="004E36CB">
        <w:rPr>
          <w:rFonts w:ascii="仿宋_GB2312" w:eastAsia="仿宋_GB2312" w:hAnsi="仿宋" w:cstheme="minorBidi" w:hint="eastAsia"/>
          <w:sz w:val="30"/>
          <w:szCs w:val="30"/>
        </w:rPr>
        <w:t>这是由于商场营业环境需求，照明</w:t>
      </w:r>
      <w:r w:rsidR="00A12A60">
        <w:rPr>
          <w:rFonts w:ascii="仿宋_GB2312" w:eastAsia="仿宋_GB2312" w:hAnsi="仿宋" w:cstheme="minorBidi" w:hint="eastAsia"/>
          <w:sz w:val="30"/>
          <w:szCs w:val="30"/>
        </w:rPr>
        <w:t>功率密度</w:t>
      </w:r>
      <w:r w:rsidR="004E36CB">
        <w:rPr>
          <w:rFonts w:ascii="仿宋_GB2312" w:eastAsia="仿宋_GB2312" w:hAnsi="仿宋" w:cstheme="minorBidi" w:hint="eastAsia"/>
          <w:sz w:val="30"/>
          <w:szCs w:val="30"/>
        </w:rPr>
        <w:t>一般高于其他类型建筑</w:t>
      </w:r>
      <w:r>
        <w:rPr>
          <w:rFonts w:ascii="仿宋_GB2312" w:eastAsia="仿宋_GB2312" w:hAnsi="仿宋" w:cstheme="minorBidi" w:hint="eastAsia"/>
          <w:sz w:val="30"/>
          <w:szCs w:val="30"/>
        </w:rPr>
        <w:t>。</w:t>
      </w:r>
    </w:p>
    <w:p w:rsidR="00712CA6" w:rsidRDefault="00BB3ECE" w:rsidP="000F5E86">
      <w:pPr>
        <w:jc w:val="center"/>
        <w:rPr>
          <w:rFonts w:ascii="仿宋_GB2312" w:eastAsia="仿宋_GB2312" w:hAnsi="仿宋" w:cstheme="minorBidi"/>
          <w:sz w:val="30"/>
          <w:szCs w:val="30"/>
        </w:rPr>
      </w:pPr>
      <w:r w:rsidRPr="000D2379">
        <w:rPr>
          <w:noProof/>
        </w:rPr>
        <w:lastRenderedPageBreak/>
        <w:drawing>
          <wp:inline distT="0" distB="0" distL="0" distR="0">
            <wp:extent cx="5071110" cy="31496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D324C" w:rsidRPr="001D324C" w:rsidRDefault="001D324C" w:rsidP="001D324C">
      <w:pPr>
        <w:jc w:val="center"/>
        <w:rPr>
          <w:rFonts w:ascii="Times New Roman" w:eastAsia="仿宋_GB2312" w:hAnsi="Times New Roman"/>
          <w:color w:val="000000" w:themeColor="text1"/>
          <w:sz w:val="24"/>
          <w:szCs w:val="24"/>
        </w:rPr>
      </w:pPr>
      <w:r w:rsidRPr="001D324C">
        <w:rPr>
          <w:rFonts w:ascii="Times New Roman" w:eastAsia="仿宋_GB2312" w:hAnsi="Times New Roman" w:hint="eastAsia"/>
          <w:color w:val="000000" w:themeColor="text1"/>
          <w:sz w:val="24"/>
          <w:szCs w:val="24"/>
        </w:rPr>
        <w:t>图</w:t>
      </w:r>
      <w:r w:rsidR="00C71D4D">
        <w:rPr>
          <w:rFonts w:ascii="Times New Roman" w:eastAsia="仿宋_GB2312" w:hAnsi="Times New Roman" w:hint="eastAsia"/>
          <w:color w:val="000000" w:themeColor="text1"/>
          <w:sz w:val="24"/>
          <w:szCs w:val="24"/>
        </w:rPr>
        <w:t>16</w:t>
      </w:r>
      <w:r w:rsidRPr="001D324C">
        <w:rPr>
          <w:rFonts w:ascii="Times New Roman" w:eastAsia="仿宋_GB2312" w:hAnsi="Times New Roman" w:hint="eastAsia"/>
          <w:color w:val="000000" w:themeColor="text1"/>
          <w:sz w:val="24"/>
          <w:szCs w:val="24"/>
        </w:rPr>
        <w:t xml:space="preserve">  2016</w:t>
      </w:r>
      <w:r w:rsidR="004E36CB">
        <w:rPr>
          <w:rFonts w:ascii="Times New Roman" w:eastAsia="仿宋_GB2312" w:hAnsi="Times New Roman" w:hint="eastAsia"/>
          <w:color w:val="000000" w:themeColor="text1"/>
          <w:sz w:val="24"/>
          <w:szCs w:val="24"/>
        </w:rPr>
        <w:t>年</w:t>
      </w:r>
      <w:r w:rsidR="00696491">
        <w:rPr>
          <w:rFonts w:ascii="Times New Roman" w:eastAsia="仿宋_GB2312" w:hAnsi="Times New Roman" w:hint="eastAsia"/>
          <w:color w:val="000000" w:themeColor="text1"/>
          <w:sz w:val="24"/>
          <w:szCs w:val="24"/>
        </w:rPr>
        <w:t>能耗监测平台</w:t>
      </w:r>
      <w:r w:rsidR="00223998">
        <w:rPr>
          <w:rFonts w:ascii="Times New Roman" w:eastAsia="仿宋_GB2312" w:hAnsi="Times New Roman" w:hint="eastAsia"/>
          <w:color w:val="000000" w:themeColor="text1"/>
          <w:sz w:val="24"/>
          <w:szCs w:val="24"/>
        </w:rPr>
        <w:t>主要</w:t>
      </w:r>
      <w:r w:rsidR="004E36CB">
        <w:rPr>
          <w:rFonts w:ascii="Times New Roman" w:eastAsia="仿宋_GB2312" w:hAnsi="Times New Roman" w:hint="eastAsia"/>
          <w:color w:val="000000" w:themeColor="text1"/>
          <w:sz w:val="24"/>
          <w:szCs w:val="24"/>
        </w:rPr>
        <w:t>类型建筑分项用电量</w:t>
      </w:r>
      <w:r w:rsidRPr="001D324C">
        <w:rPr>
          <w:rFonts w:ascii="Times New Roman" w:eastAsia="仿宋_GB2312" w:hAnsi="Times New Roman" w:hint="eastAsia"/>
          <w:color w:val="000000" w:themeColor="text1"/>
          <w:sz w:val="24"/>
          <w:szCs w:val="24"/>
        </w:rPr>
        <w:t>占比情况</w:t>
      </w:r>
    </w:p>
    <w:p w:rsidR="00A36B13" w:rsidRPr="00A36B13" w:rsidRDefault="001D324C" w:rsidP="00573540">
      <w:pPr>
        <w:pStyle w:val="3"/>
        <w:spacing w:before="0" w:after="0" w:line="415" w:lineRule="auto"/>
        <w:rPr>
          <w:rFonts w:ascii="黑体" w:eastAsia="黑体" w:hAnsi="黑体" w:cstheme="minorBidi"/>
          <w:bCs w:val="0"/>
          <w:sz w:val="30"/>
          <w:szCs w:val="30"/>
        </w:rPr>
      </w:pPr>
      <w:bookmarkStart w:id="23" w:name="_Toc479753015"/>
      <w:r>
        <w:rPr>
          <w:rFonts w:ascii="黑体" w:eastAsia="黑体" w:hAnsi="黑体" w:cstheme="minorBidi" w:hint="eastAsia"/>
          <w:bCs w:val="0"/>
          <w:sz w:val="30"/>
          <w:szCs w:val="30"/>
        </w:rPr>
        <w:t>5</w:t>
      </w:r>
      <w:r w:rsidR="00A36B13" w:rsidRPr="00A36B13">
        <w:rPr>
          <w:rFonts w:ascii="黑体" w:eastAsia="黑体" w:hAnsi="黑体" w:cstheme="minorBidi" w:hint="eastAsia"/>
          <w:bCs w:val="0"/>
          <w:sz w:val="30"/>
          <w:szCs w:val="30"/>
        </w:rPr>
        <w:t>、超大型</w:t>
      </w:r>
      <w:r w:rsidR="00675822">
        <w:rPr>
          <w:rFonts w:ascii="黑体" w:eastAsia="黑体" w:hAnsi="黑体" w:cstheme="minorBidi" w:hint="eastAsia"/>
          <w:bCs w:val="0"/>
          <w:sz w:val="30"/>
          <w:szCs w:val="30"/>
        </w:rPr>
        <w:t>公共</w:t>
      </w:r>
      <w:r w:rsidR="00A36B13" w:rsidRPr="00A36B13">
        <w:rPr>
          <w:rFonts w:ascii="黑体" w:eastAsia="黑体" w:hAnsi="黑体" w:cstheme="minorBidi" w:hint="eastAsia"/>
          <w:bCs w:val="0"/>
          <w:sz w:val="30"/>
          <w:szCs w:val="30"/>
        </w:rPr>
        <w:t>建筑年用电强度分析</w:t>
      </w:r>
      <w:bookmarkEnd w:id="23"/>
    </w:p>
    <w:p w:rsidR="008108E1" w:rsidRDefault="008108E1" w:rsidP="00E82E10">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建筑面积超过</w:t>
      </w:r>
      <w:r w:rsidRPr="008108E1">
        <w:rPr>
          <w:rFonts w:ascii="仿宋_GB2312" w:eastAsia="仿宋_GB2312" w:hAnsi="仿宋" w:cstheme="minorBidi" w:hint="eastAsia"/>
          <w:sz w:val="30"/>
          <w:szCs w:val="30"/>
        </w:rPr>
        <w:t>10万</w:t>
      </w:r>
      <w:r w:rsidR="00890987">
        <w:rPr>
          <w:rFonts w:ascii="仿宋_GB2312" w:eastAsia="仿宋_GB2312" w:hAnsi="仿宋" w:cstheme="minorBidi" w:hint="eastAsia"/>
          <w:sz w:val="30"/>
          <w:szCs w:val="30"/>
        </w:rPr>
        <w:t>m</w:t>
      </w:r>
      <w:r w:rsidR="00890987">
        <w:rPr>
          <w:rFonts w:ascii="仿宋_GB2312" w:eastAsia="仿宋_GB2312" w:hAnsi="仿宋" w:cstheme="minorBidi"/>
          <w:sz w:val="30"/>
          <w:szCs w:val="30"/>
          <w:vertAlign w:val="superscript"/>
        </w:rPr>
        <w:t>2</w:t>
      </w:r>
      <w:r>
        <w:rPr>
          <w:rFonts w:ascii="仿宋_GB2312" w:eastAsia="仿宋_GB2312" w:hAnsi="仿宋" w:cstheme="minorBidi" w:hint="eastAsia"/>
          <w:sz w:val="30"/>
          <w:szCs w:val="30"/>
        </w:rPr>
        <w:t>的</w:t>
      </w:r>
      <w:r w:rsidR="00675822">
        <w:rPr>
          <w:rFonts w:ascii="仿宋_GB2312" w:eastAsia="仿宋_GB2312" w:hAnsi="仿宋" w:cstheme="minorBidi" w:hint="eastAsia"/>
          <w:sz w:val="30"/>
          <w:szCs w:val="30"/>
        </w:rPr>
        <w:t>公共</w:t>
      </w:r>
      <w:r>
        <w:rPr>
          <w:rFonts w:ascii="仿宋_GB2312" w:eastAsia="仿宋_GB2312" w:hAnsi="仿宋" w:cstheme="minorBidi" w:hint="eastAsia"/>
          <w:sz w:val="30"/>
          <w:szCs w:val="30"/>
        </w:rPr>
        <w:t>建筑</w:t>
      </w:r>
      <w:r w:rsidR="004E36CB">
        <w:rPr>
          <w:rFonts w:ascii="仿宋_GB2312" w:eastAsia="仿宋_GB2312" w:hAnsi="仿宋" w:cstheme="minorBidi" w:hint="eastAsia"/>
          <w:sz w:val="30"/>
          <w:szCs w:val="30"/>
        </w:rPr>
        <w:t>定义</w:t>
      </w:r>
      <w:r>
        <w:rPr>
          <w:rFonts w:ascii="仿宋_GB2312" w:eastAsia="仿宋_GB2312" w:hAnsi="仿宋" w:cstheme="minorBidi" w:hint="eastAsia"/>
          <w:sz w:val="30"/>
          <w:szCs w:val="30"/>
        </w:rPr>
        <w:t>为超大型</w:t>
      </w:r>
      <w:r w:rsidR="00675822">
        <w:rPr>
          <w:rFonts w:ascii="仿宋_GB2312" w:eastAsia="仿宋_GB2312" w:hAnsi="仿宋" w:cstheme="minorBidi" w:hint="eastAsia"/>
          <w:sz w:val="30"/>
          <w:szCs w:val="30"/>
        </w:rPr>
        <w:t>公共</w:t>
      </w:r>
      <w:r>
        <w:rPr>
          <w:rFonts w:ascii="仿宋_GB2312" w:eastAsia="仿宋_GB2312" w:hAnsi="仿宋" w:cstheme="minorBidi" w:hint="eastAsia"/>
          <w:sz w:val="30"/>
          <w:szCs w:val="30"/>
        </w:rPr>
        <w:t>建筑</w:t>
      </w:r>
      <w:r w:rsidR="009C7E3A">
        <w:rPr>
          <w:rFonts w:ascii="仿宋_GB2312" w:eastAsia="仿宋_GB2312" w:hAnsi="仿宋" w:cstheme="minorBidi" w:hint="eastAsia"/>
          <w:sz w:val="30"/>
          <w:szCs w:val="30"/>
        </w:rPr>
        <w:t>。</w:t>
      </w:r>
      <w:r>
        <w:rPr>
          <w:rFonts w:ascii="仿宋_GB2312" w:eastAsia="仿宋_GB2312" w:hAnsi="仿宋" w:cstheme="minorBidi" w:hint="eastAsia"/>
          <w:sz w:val="30"/>
          <w:szCs w:val="30"/>
        </w:rPr>
        <w:t>2016年，</w:t>
      </w:r>
      <w:r w:rsidR="004E36CB">
        <w:rPr>
          <w:rFonts w:ascii="仿宋_GB2312" w:eastAsia="仿宋_GB2312" w:hAnsi="仿宋" w:cstheme="minorBidi" w:hint="eastAsia"/>
          <w:sz w:val="30"/>
          <w:szCs w:val="30"/>
        </w:rPr>
        <w:t>接入</w:t>
      </w:r>
      <w:r w:rsidR="00696491">
        <w:rPr>
          <w:rFonts w:ascii="仿宋_GB2312" w:eastAsia="仿宋_GB2312" w:hAnsi="仿宋" w:cstheme="minorBidi" w:hint="eastAsia"/>
          <w:sz w:val="30"/>
          <w:szCs w:val="30"/>
        </w:rPr>
        <w:t>能耗监测平台</w:t>
      </w:r>
      <w:r>
        <w:rPr>
          <w:rFonts w:ascii="仿宋_GB2312" w:eastAsia="仿宋_GB2312" w:hAnsi="仿宋" w:cstheme="minorBidi" w:hint="eastAsia"/>
          <w:sz w:val="30"/>
          <w:szCs w:val="30"/>
        </w:rPr>
        <w:t>的超大型</w:t>
      </w:r>
      <w:r w:rsidR="00675822">
        <w:rPr>
          <w:rFonts w:ascii="仿宋_GB2312" w:eastAsia="仿宋_GB2312" w:hAnsi="仿宋" w:cstheme="minorBidi" w:hint="eastAsia"/>
          <w:sz w:val="30"/>
          <w:szCs w:val="30"/>
        </w:rPr>
        <w:t>公共</w:t>
      </w:r>
      <w:r>
        <w:rPr>
          <w:rFonts w:ascii="仿宋_GB2312" w:eastAsia="仿宋_GB2312" w:hAnsi="仿宋" w:cstheme="minorBidi" w:hint="eastAsia"/>
          <w:sz w:val="30"/>
          <w:szCs w:val="30"/>
        </w:rPr>
        <w:t>建筑共85栋，</w:t>
      </w:r>
      <w:r w:rsidR="00573540">
        <w:rPr>
          <w:rFonts w:ascii="仿宋_GB2312" w:eastAsia="仿宋_GB2312" w:hAnsi="仿宋" w:cstheme="minorBidi" w:hint="eastAsia"/>
          <w:sz w:val="30"/>
          <w:szCs w:val="30"/>
        </w:rPr>
        <w:t>占总建筑量的6％，</w:t>
      </w:r>
      <w:r>
        <w:rPr>
          <w:rFonts w:ascii="仿宋_GB2312" w:eastAsia="仿宋_GB2312" w:hAnsi="仿宋" w:cstheme="minorBidi" w:hint="eastAsia"/>
          <w:sz w:val="30"/>
          <w:szCs w:val="30"/>
        </w:rPr>
        <w:t>覆盖建筑</w:t>
      </w:r>
      <w:r w:rsidRPr="008108E1">
        <w:rPr>
          <w:rFonts w:ascii="仿宋_GB2312" w:eastAsia="仿宋_GB2312" w:hAnsi="仿宋" w:cstheme="minorBidi" w:hint="eastAsia"/>
          <w:sz w:val="30"/>
          <w:szCs w:val="30"/>
        </w:rPr>
        <w:t>面积</w:t>
      </w:r>
      <w:r>
        <w:rPr>
          <w:rFonts w:ascii="仿宋_GB2312" w:eastAsia="仿宋_GB2312" w:hAnsi="仿宋" w:cstheme="minorBidi" w:hint="eastAsia"/>
          <w:sz w:val="30"/>
          <w:szCs w:val="30"/>
        </w:rPr>
        <w:t>约1477</w:t>
      </w:r>
      <w:r w:rsidRPr="008108E1">
        <w:rPr>
          <w:rFonts w:ascii="仿宋_GB2312" w:eastAsia="仿宋_GB2312" w:hAnsi="仿宋" w:cstheme="minorBidi" w:hint="eastAsia"/>
          <w:sz w:val="30"/>
          <w:szCs w:val="30"/>
        </w:rPr>
        <w:t>万</w:t>
      </w:r>
      <w:r>
        <w:rPr>
          <w:rFonts w:ascii="仿宋_GB2312" w:eastAsia="仿宋_GB2312" w:hAnsi="仿宋" w:cstheme="minorBidi" w:hint="eastAsia"/>
          <w:sz w:val="30"/>
          <w:szCs w:val="30"/>
        </w:rPr>
        <w:t>m</w:t>
      </w:r>
      <w:r w:rsidRPr="008108E1">
        <w:rPr>
          <w:rFonts w:ascii="仿宋_GB2312" w:eastAsia="仿宋_GB2312" w:hAnsi="仿宋" w:cstheme="minorBidi" w:hint="eastAsia"/>
          <w:sz w:val="30"/>
          <w:szCs w:val="30"/>
          <w:vertAlign w:val="superscript"/>
        </w:rPr>
        <w:t>2</w:t>
      </w:r>
      <w:r w:rsidR="00573540">
        <w:rPr>
          <w:rFonts w:ascii="仿宋_GB2312" w:eastAsia="仿宋_GB2312" w:hAnsi="仿宋" w:cstheme="minorBidi" w:hint="eastAsia"/>
          <w:sz w:val="30"/>
          <w:szCs w:val="30"/>
        </w:rPr>
        <w:t>，其中，</w:t>
      </w:r>
      <w:r w:rsidR="004E36CB">
        <w:rPr>
          <w:rFonts w:ascii="仿宋_GB2312" w:eastAsia="仿宋_GB2312" w:hAnsi="仿宋" w:cstheme="minorBidi" w:hint="eastAsia"/>
          <w:sz w:val="30"/>
          <w:szCs w:val="30"/>
        </w:rPr>
        <w:t>主要类型为</w:t>
      </w:r>
      <w:r w:rsidRPr="008108E1">
        <w:rPr>
          <w:rFonts w:ascii="仿宋_GB2312" w:eastAsia="仿宋_GB2312" w:hAnsi="仿宋" w:cstheme="minorBidi" w:hint="eastAsia"/>
          <w:sz w:val="30"/>
          <w:szCs w:val="30"/>
        </w:rPr>
        <w:t>商场建筑和综合建筑，占总量的</w:t>
      </w:r>
      <w:r w:rsidR="004E36CB">
        <w:rPr>
          <w:rFonts w:ascii="仿宋_GB2312" w:eastAsia="仿宋_GB2312" w:hAnsi="仿宋" w:cstheme="minorBidi"/>
          <w:sz w:val="30"/>
          <w:szCs w:val="30"/>
        </w:rPr>
        <w:t>66</w:t>
      </w:r>
      <w:r w:rsidR="00573540">
        <w:rPr>
          <w:rFonts w:ascii="仿宋_GB2312" w:eastAsia="仿宋_GB2312" w:hAnsi="仿宋" w:cstheme="minorBidi" w:hint="eastAsia"/>
          <w:sz w:val="30"/>
          <w:szCs w:val="30"/>
        </w:rPr>
        <w:t>％，如</w:t>
      </w:r>
      <w:r w:rsidR="00573540" w:rsidRPr="00E96944">
        <w:rPr>
          <w:rFonts w:ascii="仿宋_GB2312" w:eastAsia="仿宋_GB2312" w:hAnsi="仿宋" w:cstheme="minorBidi" w:hint="eastAsia"/>
          <w:sz w:val="30"/>
          <w:szCs w:val="30"/>
        </w:rPr>
        <w:t>图</w:t>
      </w:r>
      <w:r w:rsidR="00E96944" w:rsidRPr="00E96944">
        <w:rPr>
          <w:rFonts w:ascii="仿宋_GB2312" w:eastAsia="仿宋_GB2312" w:hAnsi="仿宋" w:cstheme="minorBidi"/>
          <w:sz w:val="30"/>
          <w:szCs w:val="30"/>
        </w:rPr>
        <w:t>17</w:t>
      </w:r>
      <w:r w:rsidR="00573540">
        <w:rPr>
          <w:rFonts w:ascii="仿宋_GB2312" w:eastAsia="仿宋_GB2312" w:hAnsi="仿宋" w:cstheme="minorBidi" w:hint="eastAsia"/>
          <w:sz w:val="30"/>
          <w:szCs w:val="30"/>
        </w:rPr>
        <w:t>所示</w:t>
      </w:r>
      <w:r w:rsidR="00C8235F">
        <w:rPr>
          <w:rFonts w:ascii="仿宋_GB2312" w:eastAsia="仿宋_GB2312" w:hAnsi="仿宋" w:cstheme="minorBidi" w:hint="eastAsia"/>
          <w:sz w:val="30"/>
          <w:szCs w:val="30"/>
        </w:rPr>
        <w:t>。</w:t>
      </w:r>
    </w:p>
    <w:p w:rsidR="00573540" w:rsidRDefault="00573540" w:rsidP="002E161A">
      <w:pPr>
        <w:ind w:firstLineChars="200" w:firstLine="600"/>
        <w:rPr>
          <w:rFonts w:ascii="仿宋_GB2312" w:eastAsia="仿宋_GB2312" w:hAnsi="仿宋" w:cstheme="minorBidi"/>
          <w:sz w:val="30"/>
          <w:szCs w:val="30"/>
        </w:rPr>
      </w:pPr>
      <w:r>
        <w:rPr>
          <w:rFonts w:ascii="仿宋_GB2312" w:eastAsia="仿宋_GB2312" w:hAnsi="仿宋" w:cstheme="minorBidi" w:hint="eastAsia"/>
          <w:sz w:val="30"/>
          <w:szCs w:val="30"/>
        </w:rPr>
        <w:t>用电量方面，</w:t>
      </w:r>
      <w:r w:rsidRPr="00573540">
        <w:rPr>
          <w:rFonts w:ascii="仿宋_GB2312" w:eastAsia="仿宋_GB2312" w:hAnsi="仿宋" w:cstheme="minorBidi" w:hint="eastAsia"/>
          <w:sz w:val="30"/>
          <w:szCs w:val="30"/>
        </w:rPr>
        <w:t>超大型</w:t>
      </w:r>
      <w:r w:rsidR="00675822">
        <w:rPr>
          <w:rFonts w:ascii="仿宋_GB2312" w:eastAsia="仿宋_GB2312" w:hAnsi="仿宋" w:cstheme="minorBidi" w:hint="eastAsia"/>
          <w:sz w:val="30"/>
          <w:szCs w:val="30"/>
        </w:rPr>
        <w:t>公共</w:t>
      </w:r>
      <w:r w:rsidRPr="00573540">
        <w:rPr>
          <w:rFonts w:ascii="仿宋_GB2312" w:eastAsia="仿宋_GB2312" w:hAnsi="仿宋" w:cstheme="minorBidi" w:hint="eastAsia"/>
          <w:sz w:val="30"/>
          <w:szCs w:val="30"/>
        </w:rPr>
        <w:t>建筑</w:t>
      </w:r>
      <w:r w:rsidR="00C8235F">
        <w:rPr>
          <w:rFonts w:ascii="仿宋_GB2312" w:eastAsia="仿宋_GB2312" w:hAnsi="仿宋" w:cstheme="minorBidi" w:hint="eastAsia"/>
          <w:sz w:val="30"/>
          <w:szCs w:val="30"/>
        </w:rPr>
        <w:t>单位面积年平均用电量为</w:t>
      </w:r>
      <w:r w:rsidR="00C8235F" w:rsidRPr="00573540">
        <w:rPr>
          <w:rFonts w:ascii="仿宋_GB2312" w:eastAsia="仿宋_GB2312" w:hAnsi="仿宋" w:cstheme="minorBidi"/>
          <w:sz w:val="30"/>
          <w:szCs w:val="30"/>
        </w:rPr>
        <w:t>111</w:t>
      </w:r>
      <w:r w:rsidR="00C8235F" w:rsidRPr="00573540">
        <w:rPr>
          <w:rFonts w:ascii="仿宋_GB2312" w:eastAsia="仿宋_GB2312" w:hAnsi="仿宋" w:cstheme="minorBidi" w:hint="eastAsia"/>
          <w:sz w:val="30"/>
          <w:szCs w:val="30"/>
        </w:rPr>
        <w:t>.8kWh/m</w:t>
      </w:r>
      <w:r w:rsidR="00C8235F" w:rsidRPr="00573540">
        <w:rPr>
          <w:rFonts w:ascii="仿宋_GB2312" w:eastAsia="仿宋_GB2312" w:hAnsi="仿宋" w:cstheme="minorBidi" w:hint="eastAsia"/>
          <w:sz w:val="30"/>
          <w:szCs w:val="30"/>
          <w:vertAlign w:val="superscript"/>
        </w:rPr>
        <w:t>2</w:t>
      </w:r>
      <w:r w:rsidR="00C8235F">
        <w:rPr>
          <w:rFonts w:ascii="仿宋_GB2312" w:eastAsia="仿宋_GB2312" w:hAnsi="仿宋" w:cstheme="minorBidi" w:hint="eastAsia"/>
          <w:sz w:val="30"/>
          <w:szCs w:val="30"/>
        </w:rPr>
        <w:t>，略高于全市平均值，这是由于相较于全市各类型建筑分布情况，超大型建筑中商场建筑的占比是全市的2倍，且商场用电强度高于其余类型建筑的</w:t>
      </w:r>
      <w:r w:rsidR="0025304C">
        <w:rPr>
          <w:rFonts w:ascii="仿宋_GB2312" w:eastAsia="仿宋_GB2312" w:hAnsi="仿宋" w:cstheme="minorBidi" w:hint="eastAsia"/>
          <w:sz w:val="30"/>
          <w:szCs w:val="30"/>
        </w:rPr>
        <w:t>缘故</w:t>
      </w:r>
      <w:r w:rsidR="00C8235F">
        <w:rPr>
          <w:rFonts w:ascii="仿宋_GB2312" w:eastAsia="仿宋_GB2312" w:hAnsi="仿宋" w:cstheme="minorBidi" w:hint="eastAsia"/>
          <w:sz w:val="30"/>
          <w:szCs w:val="30"/>
        </w:rPr>
        <w:t>。超大型</w:t>
      </w:r>
      <w:r w:rsidR="00675822">
        <w:rPr>
          <w:rFonts w:ascii="仿宋_GB2312" w:eastAsia="仿宋_GB2312" w:hAnsi="仿宋" w:cstheme="minorBidi" w:hint="eastAsia"/>
          <w:sz w:val="30"/>
          <w:szCs w:val="30"/>
        </w:rPr>
        <w:t>公共</w:t>
      </w:r>
      <w:r w:rsidR="00C8235F">
        <w:rPr>
          <w:rFonts w:ascii="仿宋_GB2312" w:eastAsia="仿宋_GB2312" w:hAnsi="仿宋" w:cstheme="minorBidi" w:hint="eastAsia"/>
          <w:sz w:val="30"/>
          <w:szCs w:val="30"/>
        </w:rPr>
        <w:t>建筑2016年</w:t>
      </w:r>
      <w:r w:rsidR="00C8235F" w:rsidRPr="00573540">
        <w:rPr>
          <w:rFonts w:ascii="仿宋_GB2312" w:eastAsia="仿宋_GB2312" w:hAnsi="仿宋" w:cstheme="minorBidi" w:hint="eastAsia"/>
          <w:sz w:val="30"/>
          <w:szCs w:val="30"/>
        </w:rPr>
        <w:t>总</w:t>
      </w:r>
      <w:r w:rsidR="00E96944">
        <w:rPr>
          <w:rFonts w:ascii="仿宋_GB2312" w:eastAsia="仿宋_GB2312" w:hAnsi="仿宋" w:cstheme="minorBidi" w:hint="eastAsia"/>
          <w:sz w:val="30"/>
          <w:szCs w:val="30"/>
        </w:rPr>
        <w:t>用</w:t>
      </w:r>
      <w:r w:rsidR="00C8235F" w:rsidRPr="00573540">
        <w:rPr>
          <w:rFonts w:ascii="仿宋_GB2312" w:eastAsia="仿宋_GB2312" w:hAnsi="仿宋" w:cstheme="minorBidi" w:hint="eastAsia"/>
          <w:sz w:val="30"/>
          <w:szCs w:val="30"/>
        </w:rPr>
        <w:t>电量约</w:t>
      </w:r>
      <w:r w:rsidR="00C8235F" w:rsidRPr="00573540">
        <w:rPr>
          <w:rFonts w:ascii="仿宋_GB2312" w:eastAsia="仿宋_GB2312" w:hAnsi="仿宋" w:cstheme="minorBidi"/>
          <w:sz w:val="30"/>
          <w:szCs w:val="30"/>
        </w:rPr>
        <w:t>16.5</w:t>
      </w:r>
      <w:r w:rsidR="00E96944">
        <w:rPr>
          <w:rFonts w:ascii="仿宋_GB2312" w:eastAsia="仿宋_GB2312" w:hAnsi="仿宋" w:cstheme="minorBidi" w:hint="eastAsia"/>
          <w:sz w:val="30"/>
          <w:szCs w:val="30"/>
        </w:rPr>
        <w:t>亿kWh</w:t>
      </w:r>
      <w:r w:rsidR="00C8235F" w:rsidRPr="00573540">
        <w:rPr>
          <w:rFonts w:ascii="仿宋_GB2312" w:eastAsia="仿宋_GB2312" w:hAnsi="仿宋" w:cstheme="minorBidi" w:hint="eastAsia"/>
          <w:sz w:val="30"/>
          <w:szCs w:val="30"/>
        </w:rPr>
        <w:t>，占全市用电总量的25</w:t>
      </w:r>
      <w:r w:rsidR="00C8235F">
        <w:rPr>
          <w:rFonts w:ascii="仿宋_GB2312" w:eastAsia="仿宋_GB2312" w:hAnsi="仿宋" w:cstheme="minorBidi" w:hint="eastAsia"/>
          <w:sz w:val="30"/>
          <w:szCs w:val="30"/>
        </w:rPr>
        <w:t>％，说明其数量虽少但由于体量庞大</w:t>
      </w:r>
      <w:r w:rsidR="00A86F08">
        <w:rPr>
          <w:rFonts w:ascii="仿宋_GB2312" w:eastAsia="仿宋_GB2312" w:hAnsi="仿宋" w:cstheme="minorBidi" w:hint="eastAsia"/>
          <w:sz w:val="30"/>
          <w:szCs w:val="30"/>
        </w:rPr>
        <w:t>，总用电量不可小觑，节能潜力可观。</w:t>
      </w:r>
    </w:p>
    <w:p w:rsidR="00E96944" w:rsidRDefault="00BB3ECE" w:rsidP="00A97611">
      <w:pPr>
        <w:jc w:val="center"/>
        <w:rPr>
          <w:rFonts w:ascii="仿宋_GB2312" w:eastAsia="仿宋_GB2312" w:hAnsi="仿宋" w:cstheme="minorBidi"/>
          <w:sz w:val="30"/>
          <w:szCs w:val="30"/>
        </w:rPr>
      </w:pPr>
      <w:r>
        <w:rPr>
          <w:noProof/>
        </w:rPr>
        <w:lastRenderedPageBreak/>
        <w:drawing>
          <wp:inline distT="0" distB="0" distL="0" distR="0">
            <wp:extent cx="4686300" cy="2794000"/>
            <wp:effectExtent l="0" t="0" r="0" b="635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36B13" w:rsidRPr="00573540" w:rsidRDefault="00573540" w:rsidP="007033D7">
      <w:pPr>
        <w:jc w:val="center"/>
        <w:rPr>
          <w:rFonts w:ascii="Times New Roman" w:eastAsia="仿宋_GB2312" w:hAnsi="Times New Roman"/>
          <w:color w:val="000000" w:themeColor="text1"/>
          <w:sz w:val="24"/>
          <w:szCs w:val="24"/>
        </w:rPr>
      </w:pPr>
      <w:r w:rsidRPr="00573540">
        <w:rPr>
          <w:rFonts w:ascii="Times New Roman" w:eastAsia="仿宋_GB2312" w:hAnsi="Times New Roman" w:hint="eastAsia"/>
          <w:color w:val="000000" w:themeColor="text1"/>
          <w:sz w:val="24"/>
          <w:szCs w:val="24"/>
        </w:rPr>
        <w:t>图</w:t>
      </w:r>
      <w:r w:rsidR="00C71D4D">
        <w:rPr>
          <w:rFonts w:ascii="Times New Roman" w:eastAsia="仿宋_GB2312" w:hAnsi="Times New Roman" w:hint="eastAsia"/>
          <w:color w:val="000000" w:themeColor="text1"/>
          <w:sz w:val="24"/>
          <w:szCs w:val="24"/>
        </w:rPr>
        <w:t>17</w:t>
      </w:r>
      <w:r w:rsidR="00EB4F53">
        <w:rPr>
          <w:rFonts w:ascii="Times New Roman" w:eastAsia="仿宋_GB2312" w:hAnsi="Times New Roman" w:hint="eastAsia"/>
          <w:color w:val="000000" w:themeColor="text1"/>
          <w:sz w:val="24"/>
          <w:szCs w:val="24"/>
        </w:rPr>
        <w:t>2016</w:t>
      </w:r>
      <w:r w:rsidR="00E96944">
        <w:rPr>
          <w:rFonts w:ascii="Times New Roman" w:eastAsia="仿宋_GB2312" w:hAnsi="Times New Roman" w:hint="eastAsia"/>
          <w:color w:val="000000" w:themeColor="text1"/>
          <w:sz w:val="24"/>
          <w:szCs w:val="24"/>
        </w:rPr>
        <w:t>年</w:t>
      </w:r>
      <w:r w:rsidR="00385A3E">
        <w:rPr>
          <w:rFonts w:ascii="Times New Roman" w:eastAsia="仿宋_GB2312" w:hAnsi="Times New Roman" w:hint="eastAsia"/>
          <w:color w:val="000000" w:themeColor="text1"/>
          <w:sz w:val="24"/>
          <w:szCs w:val="24"/>
        </w:rPr>
        <w:t>接入</w:t>
      </w:r>
      <w:r w:rsidR="00696491">
        <w:rPr>
          <w:rFonts w:ascii="Times New Roman" w:eastAsia="仿宋_GB2312" w:hAnsi="Times New Roman" w:hint="eastAsia"/>
          <w:color w:val="000000" w:themeColor="text1"/>
          <w:sz w:val="24"/>
          <w:szCs w:val="24"/>
        </w:rPr>
        <w:t>能耗监测平台</w:t>
      </w:r>
      <w:r w:rsidRPr="00573540">
        <w:rPr>
          <w:rFonts w:ascii="Times New Roman" w:eastAsia="仿宋_GB2312" w:hAnsi="Times New Roman" w:hint="eastAsia"/>
          <w:color w:val="000000" w:themeColor="text1"/>
          <w:sz w:val="24"/>
          <w:szCs w:val="24"/>
        </w:rPr>
        <w:t>超大型建筑按类型分布情况</w:t>
      </w:r>
    </w:p>
    <w:p w:rsidR="00A36B13" w:rsidRPr="00A36B13" w:rsidRDefault="00DA4364" w:rsidP="00A36B13">
      <w:pPr>
        <w:pStyle w:val="2"/>
        <w:rPr>
          <w:rFonts w:ascii="黑体" w:eastAsia="黑体" w:hAnsi="黑体" w:cs="Times New Roman"/>
          <w:bCs w:val="0"/>
          <w:color w:val="000000" w:themeColor="text1"/>
        </w:rPr>
      </w:pPr>
      <w:bookmarkStart w:id="24" w:name="_Toc479753016"/>
      <w:r>
        <w:rPr>
          <w:rFonts w:ascii="黑体" w:eastAsia="黑体" w:hAnsi="黑体" w:cs="Times New Roman" w:hint="eastAsia"/>
          <w:bCs w:val="0"/>
          <w:color w:val="000000" w:themeColor="text1"/>
        </w:rPr>
        <w:t>（二）</w:t>
      </w:r>
      <w:r w:rsidR="00C407C2">
        <w:rPr>
          <w:rFonts w:ascii="黑体" w:eastAsia="黑体" w:hAnsi="黑体" w:cs="Times New Roman" w:hint="eastAsia"/>
          <w:bCs w:val="0"/>
          <w:color w:val="000000" w:themeColor="text1"/>
        </w:rPr>
        <w:t>典型</w:t>
      </w:r>
      <w:r w:rsidR="00A36B13" w:rsidRPr="00A36B13">
        <w:rPr>
          <w:rFonts w:ascii="黑体" w:eastAsia="黑体" w:hAnsi="黑体" w:cs="Times New Roman" w:hint="eastAsia"/>
          <w:bCs w:val="0"/>
          <w:color w:val="000000" w:themeColor="text1"/>
        </w:rPr>
        <w:t>建筑用能对标</w:t>
      </w:r>
      <w:bookmarkEnd w:id="24"/>
    </w:p>
    <w:p w:rsidR="00CE16DE" w:rsidRPr="00EB1F00" w:rsidRDefault="00CE16DE" w:rsidP="00EB1F00">
      <w:pPr>
        <w:pStyle w:val="3"/>
        <w:spacing w:before="0" w:after="0" w:line="415" w:lineRule="auto"/>
        <w:rPr>
          <w:rFonts w:ascii="黑体" w:eastAsia="黑体" w:hAnsi="黑体" w:cstheme="minorBidi"/>
          <w:bCs w:val="0"/>
          <w:sz w:val="30"/>
          <w:szCs w:val="30"/>
        </w:rPr>
      </w:pPr>
      <w:bookmarkStart w:id="25" w:name="_Toc446331541"/>
      <w:bookmarkStart w:id="26" w:name="_Toc479753017"/>
      <w:r w:rsidRPr="00EB1F00">
        <w:rPr>
          <w:rFonts w:ascii="黑体" w:eastAsia="黑体" w:hAnsi="黑体" w:cstheme="minorBidi" w:hint="eastAsia"/>
          <w:bCs w:val="0"/>
          <w:sz w:val="30"/>
          <w:szCs w:val="30"/>
        </w:rPr>
        <w:t>1、典型</w:t>
      </w:r>
      <w:r w:rsidR="0099474F">
        <w:rPr>
          <w:rFonts w:ascii="黑体" w:eastAsia="黑体" w:hAnsi="黑体" w:cstheme="minorBidi" w:hint="eastAsia"/>
          <w:bCs w:val="0"/>
          <w:sz w:val="30"/>
          <w:szCs w:val="30"/>
        </w:rPr>
        <w:t>行业建筑</w:t>
      </w:r>
      <w:r w:rsidRPr="00EB1F00">
        <w:rPr>
          <w:rFonts w:ascii="黑体" w:eastAsia="黑体" w:hAnsi="黑体" w:cstheme="minorBidi" w:hint="eastAsia"/>
          <w:bCs w:val="0"/>
          <w:sz w:val="30"/>
          <w:szCs w:val="30"/>
        </w:rPr>
        <w:t>总体对标分析</w:t>
      </w:r>
      <w:bookmarkEnd w:id="25"/>
      <w:bookmarkEnd w:id="26"/>
    </w:p>
    <w:p w:rsidR="00CE16DE" w:rsidRPr="00CE16DE" w:rsidRDefault="00CE16DE" w:rsidP="00DB66EC">
      <w:pPr>
        <w:widowControl/>
        <w:spacing w:beforeLines="50" w:line="360" w:lineRule="auto"/>
        <w:jc w:val="left"/>
        <w:rPr>
          <w:rFonts w:ascii="仿宋" w:eastAsia="仿宋" w:hAnsi="仿宋"/>
          <w:bCs/>
          <w:color w:val="000000" w:themeColor="text1"/>
          <w:sz w:val="30"/>
          <w:szCs w:val="30"/>
        </w:rPr>
      </w:pPr>
      <w:r w:rsidRPr="00CE16DE">
        <w:rPr>
          <w:rFonts w:ascii="仿宋" w:eastAsia="仿宋" w:hAnsi="仿宋" w:hint="eastAsia"/>
          <w:bCs/>
          <w:color w:val="000000" w:themeColor="text1"/>
          <w:sz w:val="30"/>
          <w:szCs w:val="30"/>
        </w:rPr>
        <w:t>（1）国家机关办公建筑总体对标情况</w:t>
      </w:r>
    </w:p>
    <w:p w:rsidR="00CE16DE" w:rsidRDefault="00CE16DE" w:rsidP="00DB66EC">
      <w:pPr>
        <w:spacing w:afterLines="50" w:line="360" w:lineRule="auto"/>
        <w:ind w:firstLineChars="200" w:firstLine="600"/>
        <w:rPr>
          <w:rFonts w:ascii="Times New Roman" w:eastAsia="仿宋" w:hAnsi="Times New Roman"/>
          <w:color w:val="000000" w:themeColor="text1"/>
          <w:sz w:val="30"/>
          <w:szCs w:val="30"/>
        </w:rPr>
      </w:pPr>
      <w:r w:rsidRPr="00CE16DE">
        <w:rPr>
          <w:rFonts w:ascii="Times New Roman" w:eastAsia="仿宋" w:hAnsi="Times New Roman"/>
          <w:color w:val="000000" w:themeColor="text1"/>
          <w:sz w:val="30"/>
          <w:szCs w:val="30"/>
        </w:rPr>
        <w:t>根据《机关办公建筑合理用能指南》（</w:t>
      </w:r>
      <w:r w:rsidRPr="00CE16DE">
        <w:rPr>
          <w:rFonts w:ascii="Times New Roman" w:eastAsia="仿宋" w:hAnsi="Times New Roman"/>
          <w:color w:val="000000" w:themeColor="text1"/>
          <w:sz w:val="30"/>
          <w:szCs w:val="30"/>
        </w:rPr>
        <w:t>DB31/T550</w:t>
      </w:r>
      <w:r w:rsidRPr="00CE16DE">
        <w:rPr>
          <w:rFonts w:ascii="Times New Roman" w:eastAsia="仿宋" w:hAnsi="Times New Roman"/>
          <w:color w:val="000000" w:themeColor="text1"/>
          <w:sz w:val="30"/>
          <w:szCs w:val="30"/>
        </w:rPr>
        <w:t>）规定，机关办公建筑</w:t>
      </w:r>
      <w:r w:rsidRPr="00CE16DE">
        <w:rPr>
          <w:rFonts w:ascii="Times New Roman" w:eastAsia="仿宋" w:hAnsi="Times New Roman" w:hint="eastAsia"/>
          <w:color w:val="000000" w:themeColor="text1"/>
          <w:sz w:val="30"/>
          <w:szCs w:val="30"/>
        </w:rPr>
        <w:t>根据</w:t>
      </w:r>
      <w:r w:rsidRPr="00CE16DE">
        <w:rPr>
          <w:rFonts w:ascii="Times New Roman" w:eastAsia="仿宋" w:hAnsi="Times New Roman"/>
          <w:color w:val="000000" w:themeColor="text1"/>
          <w:sz w:val="30"/>
          <w:szCs w:val="30"/>
        </w:rPr>
        <w:t>所处地域、建筑面积、办公形式、空调系统形式等分为九个类型，每个类型</w:t>
      </w:r>
      <w:r w:rsidRPr="00CE16DE">
        <w:rPr>
          <w:rFonts w:ascii="Times New Roman" w:eastAsia="仿宋" w:hAnsi="Times New Roman" w:hint="eastAsia"/>
          <w:color w:val="000000" w:themeColor="text1"/>
          <w:sz w:val="30"/>
          <w:szCs w:val="30"/>
        </w:rPr>
        <w:t>对应一个</w:t>
      </w:r>
      <w:r w:rsidRPr="00CE16DE">
        <w:rPr>
          <w:rFonts w:ascii="Times New Roman" w:eastAsia="仿宋" w:hAnsi="Times New Roman"/>
          <w:color w:val="000000" w:themeColor="text1"/>
          <w:sz w:val="30"/>
          <w:szCs w:val="30"/>
        </w:rPr>
        <w:t>指标</w:t>
      </w:r>
      <w:r w:rsidRPr="00CE16DE">
        <w:rPr>
          <w:rFonts w:ascii="Times New Roman" w:eastAsia="仿宋" w:hAnsi="Times New Roman" w:hint="eastAsia"/>
          <w:color w:val="000000" w:themeColor="text1"/>
          <w:sz w:val="30"/>
          <w:szCs w:val="30"/>
        </w:rPr>
        <w:t>。纳入</w:t>
      </w:r>
      <w:r w:rsidR="00696491">
        <w:rPr>
          <w:rFonts w:ascii="Times New Roman" w:eastAsia="仿宋" w:hAnsi="Times New Roman" w:hint="eastAsia"/>
          <w:color w:val="000000" w:themeColor="text1"/>
          <w:sz w:val="30"/>
          <w:szCs w:val="30"/>
        </w:rPr>
        <w:t>能耗监测平台</w:t>
      </w:r>
      <w:r w:rsidRPr="00CE16DE">
        <w:rPr>
          <w:rFonts w:ascii="Times New Roman" w:eastAsia="仿宋" w:hAnsi="Times New Roman" w:hint="eastAsia"/>
          <w:color w:val="000000" w:themeColor="text1"/>
          <w:sz w:val="30"/>
          <w:szCs w:val="30"/>
        </w:rPr>
        <w:t>监测的国家机关办公建筑都大于</w:t>
      </w:r>
      <w:r w:rsidRPr="00CE16DE">
        <w:rPr>
          <w:rFonts w:ascii="Times New Roman" w:eastAsia="仿宋" w:hAnsi="Times New Roman" w:hint="eastAsia"/>
          <w:color w:val="000000" w:themeColor="text1"/>
          <w:sz w:val="30"/>
          <w:szCs w:val="30"/>
        </w:rPr>
        <w:t>1</w:t>
      </w:r>
      <w:r w:rsidRPr="00CE16DE">
        <w:rPr>
          <w:rFonts w:ascii="Times New Roman" w:eastAsia="仿宋" w:hAnsi="Times New Roman" w:hint="eastAsia"/>
          <w:color w:val="000000" w:themeColor="text1"/>
          <w:sz w:val="30"/>
          <w:szCs w:val="30"/>
        </w:rPr>
        <w:t>万</w:t>
      </w:r>
      <w:r w:rsidRPr="00CE16DE">
        <w:rPr>
          <w:rFonts w:ascii="Times New Roman" w:eastAsia="仿宋" w:hAnsi="Times New Roman" w:hint="eastAsia"/>
          <w:color w:val="000000" w:themeColor="text1"/>
          <w:sz w:val="30"/>
          <w:szCs w:val="30"/>
        </w:rPr>
        <w:t>m</w:t>
      </w:r>
      <w:r w:rsidRPr="00CE16DE">
        <w:rPr>
          <w:rFonts w:ascii="Times New Roman" w:eastAsia="仿宋" w:hAnsi="Times New Roman" w:hint="eastAsia"/>
          <w:color w:val="000000" w:themeColor="text1"/>
          <w:sz w:val="30"/>
          <w:szCs w:val="30"/>
          <w:vertAlign w:val="superscript"/>
        </w:rPr>
        <w:t>2</w:t>
      </w:r>
      <w:r w:rsidRPr="00CE16DE">
        <w:rPr>
          <w:rFonts w:ascii="Times New Roman" w:eastAsia="仿宋" w:hAnsi="Times New Roman" w:hint="eastAsia"/>
          <w:color w:val="000000" w:themeColor="text1"/>
          <w:sz w:val="30"/>
          <w:szCs w:val="30"/>
        </w:rPr>
        <w:t>，其对应的用能指标</w:t>
      </w:r>
      <w:r w:rsidRPr="00CE16DE">
        <w:rPr>
          <w:rFonts w:ascii="Times New Roman" w:eastAsia="仿宋" w:hAnsi="Times New Roman"/>
          <w:color w:val="000000" w:themeColor="text1"/>
          <w:sz w:val="30"/>
          <w:szCs w:val="30"/>
        </w:rPr>
        <w:t>如表</w:t>
      </w:r>
      <w:r w:rsidR="00FE4F21">
        <w:rPr>
          <w:rFonts w:ascii="Times New Roman" w:eastAsia="仿宋" w:hAnsi="Times New Roman"/>
          <w:color w:val="000000" w:themeColor="text1"/>
          <w:sz w:val="30"/>
          <w:szCs w:val="30"/>
        </w:rPr>
        <w:t>6</w:t>
      </w:r>
      <w:r w:rsidRPr="00CE16DE">
        <w:rPr>
          <w:rFonts w:ascii="Times New Roman" w:eastAsia="仿宋" w:hAnsi="Times New Roman"/>
          <w:color w:val="000000" w:themeColor="text1"/>
          <w:sz w:val="30"/>
          <w:szCs w:val="30"/>
        </w:rPr>
        <w:t>所示。</w:t>
      </w:r>
      <w:r w:rsidRPr="00CE16DE">
        <w:rPr>
          <w:rFonts w:ascii="Times New Roman" w:eastAsia="仿宋" w:hAnsi="Times New Roman"/>
          <w:color w:val="000000" w:themeColor="text1"/>
          <w:sz w:val="30"/>
          <w:szCs w:val="30"/>
        </w:rPr>
        <w:t>2016</w:t>
      </w:r>
      <w:r w:rsidR="00B33332">
        <w:rPr>
          <w:rFonts w:ascii="Times New Roman" w:eastAsia="仿宋" w:hAnsi="Times New Roman"/>
          <w:color w:val="000000" w:themeColor="text1"/>
          <w:sz w:val="30"/>
          <w:szCs w:val="30"/>
        </w:rPr>
        <w:t>年</w:t>
      </w:r>
      <w:r w:rsidRPr="00CE16DE">
        <w:rPr>
          <w:rFonts w:ascii="Times New Roman" w:eastAsia="仿宋" w:hAnsi="Times New Roman" w:hint="eastAsia"/>
          <w:color w:val="000000" w:themeColor="text1"/>
          <w:sz w:val="30"/>
          <w:szCs w:val="30"/>
        </w:rPr>
        <w:t>纳入</w:t>
      </w:r>
      <w:r w:rsidR="00696491">
        <w:rPr>
          <w:rFonts w:ascii="Times New Roman" w:eastAsia="仿宋" w:hAnsi="Times New Roman" w:hint="eastAsia"/>
          <w:color w:val="000000" w:themeColor="text1"/>
          <w:sz w:val="30"/>
          <w:szCs w:val="30"/>
        </w:rPr>
        <w:t>能耗监测平台</w:t>
      </w:r>
      <w:r w:rsidRPr="00CE16DE">
        <w:rPr>
          <w:rFonts w:ascii="Times New Roman" w:eastAsia="仿宋" w:hAnsi="Times New Roman" w:hint="eastAsia"/>
          <w:color w:val="000000" w:themeColor="text1"/>
          <w:sz w:val="30"/>
          <w:szCs w:val="30"/>
        </w:rPr>
        <w:t>监测的</w:t>
      </w:r>
      <w:r w:rsidRPr="00CE16DE">
        <w:rPr>
          <w:rFonts w:ascii="Times New Roman" w:eastAsia="仿宋" w:hAnsi="Times New Roman"/>
          <w:color w:val="000000" w:themeColor="text1"/>
          <w:sz w:val="30"/>
          <w:szCs w:val="30"/>
        </w:rPr>
        <w:t>国家机关办公建筑单位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年耗</w:t>
      </w:r>
      <w:r w:rsidRPr="00CE16DE">
        <w:rPr>
          <w:rFonts w:ascii="Times New Roman" w:eastAsia="仿宋" w:hAnsi="Times New Roman" w:hint="eastAsia"/>
          <w:color w:val="000000" w:themeColor="text1"/>
          <w:sz w:val="30"/>
          <w:szCs w:val="30"/>
        </w:rPr>
        <w:t>电量</w:t>
      </w:r>
      <w:r w:rsidRPr="00CE16DE">
        <w:rPr>
          <w:rFonts w:ascii="Times New Roman" w:eastAsia="仿宋" w:hAnsi="Times New Roman"/>
          <w:color w:val="000000" w:themeColor="text1"/>
          <w:sz w:val="30"/>
          <w:szCs w:val="30"/>
        </w:rPr>
        <w:t>为</w:t>
      </w:r>
      <w:r w:rsidRPr="00CE16DE">
        <w:rPr>
          <w:rFonts w:ascii="Times New Roman" w:eastAsia="仿宋" w:hAnsi="Times New Roman"/>
          <w:color w:val="000000" w:themeColor="text1"/>
          <w:sz w:val="30"/>
          <w:szCs w:val="30"/>
        </w:rPr>
        <w:t>85.0 kWh/(m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，折算成标准煤为</w:t>
      </w:r>
      <w:r w:rsidRPr="00CE16DE">
        <w:rPr>
          <w:rFonts w:ascii="Times New Roman" w:eastAsia="仿宋" w:hAnsi="Times New Roman"/>
          <w:color w:val="000000" w:themeColor="text1"/>
          <w:sz w:val="30"/>
          <w:szCs w:val="30"/>
        </w:rPr>
        <w:t>25.5 kgce/ (m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，该值</w:t>
      </w:r>
      <w:r w:rsidRPr="00CE16DE">
        <w:rPr>
          <w:rFonts w:ascii="Times New Roman" w:eastAsia="仿宋" w:hAnsi="Times New Roman" w:hint="eastAsia"/>
          <w:color w:val="000000" w:themeColor="text1"/>
          <w:sz w:val="30"/>
          <w:szCs w:val="30"/>
        </w:rPr>
        <w:t>满足用能指标</w:t>
      </w:r>
      <w:r w:rsidRPr="00CE16DE">
        <w:rPr>
          <w:rFonts w:ascii="Times New Roman" w:eastAsia="仿宋" w:hAnsi="Times New Roman"/>
          <w:color w:val="000000" w:themeColor="text1"/>
          <w:sz w:val="30"/>
          <w:szCs w:val="30"/>
        </w:rPr>
        <w:t>合理值</w:t>
      </w:r>
      <w:r w:rsidRPr="00CE16DE">
        <w:rPr>
          <w:rFonts w:ascii="Times New Roman" w:eastAsia="仿宋" w:hAnsi="Times New Roman" w:hint="eastAsia"/>
          <w:color w:val="000000" w:themeColor="text1"/>
          <w:sz w:val="30"/>
          <w:szCs w:val="30"/>
        </w:rPr>
        <w:t>要求</w:t>
      </w:r>
      <w:r w:rsidRPr="00CE16DE">
        <w:rPr>
          <w:rFonts w:ascii="Times New Roman" w:eastAsia="仿宋" w:hAnsi="Times New Roman"/>
          <w:color w:val="000000" w:themeColor="text1"/>
          <w:sz w:val="30"/>
          <w:szCs w:val="30"/>
        </w:rPr>
        <w:t>。</w:t>
      </w:r>
    </w:p>
    <w:p w:rsidR="007033D7" w:rsidRDefault="007033D7" w:rsidP="00DB66EC">
      <w:pPr>
        <w:spacing w:afterLines="50" w:line="360" w:lineRule="auto"/>
        <w:ind w:firstLineChars="200" w:firstLine="600"/>
        <w:rPr>
          <w:rFonts w:ascii="Times New Roman" w:eastAsia="仿宋" w:hAnsi="Times New Roman"/>
          <w:color w:val="000000" w:themeColor="text1"/>
          <w:sz w:val="30"/>
          <w:szCs w:val="30"/>
        </w:rPr>
      </w:pPr>
    </w:p>
    <w:p w:rsidR="007033D7" w:rsidRDefault="007033D7" w:rsidP="00DB66EC">
      <w:pPr>
        <w:spacing w:afterLines="50" w:line="360" w:lineRule="auto"/>
        <w:ind w:firstLineChars="200" w:firstLine="600"/>
        <w:rPr>
          <w:rFonts w:ascii="Times New Roman" w:eastAsia="仿宋" w:hAnsi="Times New Roman"/>
          <w:color w:val="000000" w:themeColor="text1"/>
          <w:sz w:val="30"/>
          <w:szCs w:val="30"/>
        </w:rPr>
      </w:pPr>
    </w:p>
    <w:p w:rsidR="00986351" w:rsidRDefault="00986351" w:rsidP="00CE16DE">
      <w:pPr>
        <w:pStyle w:val="af9"/>
        <w:jc w:val="center"/>
        <w:rPr>
          <w:rFonts w:ascii="Times New Roman" w:eastAsia="仿宋" w:hAnsi="Times New Roman" w:cs="Times New Roman"/>
          <w:sz w:val="24"/>
          <w:szCs w:val="24"/>
        </w:rPr>
      </w:pPr>
    </w:p>
    <w:p w:rsidR="00CE16DE" w:rsidRPr="00CE16DE" w:rsidRDefault="00CE16DE" w:rsidP="00CE16DE">
      <w:pPr>
        <w:pStyle w:val="af9"/>
        <w:jc w:val="center"/>
        <w:rPr>
          <w:rFonts w:ascii="Times New Roman" w:eastAsia="仿宋" w:hAnsi="Times New Roman" w:cs="Times New Roman"/>
          <w:sz w:val="24"/>
          <w:szCs w:val="24"/>
        </w:rPr>
      </w:pPr>
      <w:r w:rsidRPr="00CE16DE">
        <w:rPr>
          <w:rFonts w:ascii="Times New Roman" w:eastAsia="仿宋" w:hAnsi="Times New Roman" w:cs="Times New Roman"/>
          <w:sz w:val="24"/>
          <w:szCs w:val="24"/>
        </w:rPr>
        <w:lastRenderedPageBreak/>
        <w:t>表</w:t>
      </w:r>
      <w:r w:rsidR="00FE4F21">
        <w:rPr>
          <w:rFonts w:ascii="Times New Roman" w:eastAsia="仿宋" w:hAnsi="Times New Roman" w:cs="Times New Roman"/>
          <w:sz w:val="24"/>
          <w:szCs w:val="24"/>
        </w:rPr>
        <w:t>6</w:t>
      </w:r>
      <w:r w:rsidRPr="00CE16DE">
        <w:rPr>
          <w:rFonts w:ascii="Times New Roman" w:eastAsia="仿宋" w:hAnsi="Times New Roman" w:cs="Times New Roman"/>
          <w:sz w:val="24"/>
          <w:szCs w:val="24"/>
        </w:rPr>
        <w:t>机关办公建筑用能指标要求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878"/>
        <w:gridCol w:w="1646"/>
        <w:gridCol w:w="2842"/>
        <w:gridCol w:w="1545"/>
        <w:gridCol w:w="1617"/>
      </w:tblGrid>
      <w:tr w:rsidR="00CE16DE" w:rsidRPr="00CE16DE" w:rsidTr="00B30D92">
        <w:trPr>
          <w:trHeight w:val="416"/>
          <w:jc w:val="center"/>
        </w:trPr>
        <w:tc>
          <w:tcPr>
            <w:tcW w:w="515" w:type="pct"/>
            <w:vMerge w:val="restar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类别</w:t>
            </w:r>
          </w:p>
        </w:tc>
        <w:tc>
          <w:tcPr>
            <w:tcW w:w="965" w:type="pct"/>
            <w:vMerge w:val="restar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建筑面积</w:t>
            </w:r>
          </w:p>
          <w:p w:rsidR="00CE16DE" w:rsidRPr="00CE16DE" w:rsidRDefault="00CE16DE" w:rsidP="00CE16DE">
            <w:pPr>
              <w:spacing w:line="240" w:lineRule="atLeast"/>
              <w:jc w:val="center"/>
              <w:rPr>
                <w:rFonts w:ascii="Times New Roman" w:eastAsia="仿宋" w:hAnsi="Times New Roman"/>
                <w:sz w:val="24"/>
                <w:szCs w:val="24"/>
              </w:rPr>
            </w:pPr>
            <w:r w:rsidRPr="00CE16DE">
              <w:rPr>
                <w:rFonts w:ascii="Times New Roman" w:eastAsia="仿宋" w:hAnsi="Times New Roman"/>
                <w:sz w:val="24"/>
                <w:szCs w:val="24"/>
              </w:rPr>
              <w:t>（</w:t>
            </w:r>
            <w:r w:rsidRPr="00CE16DE">
              <w:rPr>
                <w:rFonts w:ascii="Times New Roman" w:eastAsia="仿宋" w:hAnsi="Times New Roman"/>
                <w:sz w:val="24"/>
                <w:szCs w:val="24"/>
              </w:rPr>
              <w:t>m</w:t>
            </w:r>
            <w:r w:rsidRPr="00CE16DE">
              <w:rPr>
                <w:rFonts w:ascii="Times New Roman" w:eastAsia="仿宋" w:hAnsi="Times New Roman"/>
                <w:sz w:val="24"/>
                <w:szCs w:val="24"/>
                <w:vertAlign w:val="superscript"/>
              </w:rPr>
              <w:t>2</w:t>
            </w:r>
            <w:r w:rsidRPr="00CE16DE">
              <w:rPr>
                <w:rFonts w:ascii="Times New Roman" w:eastAsia="仿宋" w:hAnsi="Times New Roman"/>
                <w:sz w:val="24"/>
                <w:szCs w:val="24"/>
              </w:rPr>
              <w:t>）</w:t>
            </w:r>
          </w:p>
        </w:tc>
        <w:tc>
          <w:tcPr>
            <w:tcW w:w="1666" w:type="pct"/>
            <w:vMerge w:val="restar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空调形式</w:t>
            </w:r>
          </w:p>
        </w:tc>
        <w:tc>
          <w:tcPr>
            <w:tcW w:w="1854" w:type="pct"/>
            <w:gridSpan w:val="2"/>
            <w:vAlign w:val="center"/>
          </w:tcPr>
          <w:p w:rsidR="00CE16DE" w:rsidRPr="00CE16DE" w:rsidRDefault="00CE16DE" w:rsidP="00CE16DE">
            <w:pPr>
              <w:spacing w:line="240" w:lineRule="exac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评价指标：单位建筑</w:t>
            </w:r>
          </w:p>
          <w:p w:rsidR="00CE16DE" w:rsidRPr="00CE16DE" w:rsidRDefault="00CE16DE" w:rsidP="00CE16DE">
            <w:pPr>
              <w:spacing w:line="240" w:lineRule="exac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面积年综合能耗指标</w:t>
            </w:r>
          </w:p>
          <w:p w:rsidR="00CE16DE" w:rsidRPr="00CE16DE" w:rsidRDefault="00CE16DE" w:rsidP="00CE16DE">
            <w:pPr>
              <w:spacing w:line="240" w:lineRule="exac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kgce/ (m</w:t>
            </w:r>
            <w:r w:rsidRPr="00CE16DE">
              <w:rPr>
                <w:rFonts w:ascii="Times New Roman" w:eastAsia="仿宋" w:hAnsi="Times New Roman"/>
                <w:color w:val="000000"/>
                <w:sz w:val="24"/>
                <w:szCs w:val="24"/>
                <w:vertAlign w:val="superscript"/>
              </w:rPr>
              <w:t>2</w:t>
            </w:r>
            <w:r w:rsidRPr="00CE16DE">
              <w:rPr>
                <w:rFonts w:ascii="Times New Roman" w:eastAsia="仿宋" w:hAnsi="Times New Roman"/>
                <w:color w:val="000000"/>
                <w:sz w:val="24"/>
                <w:szCs w:val="24"/>
              </w:rPr>
              <w:t>·a)</w:t>
            </w:r>
          </w:p>
        </w:tc>
      </w:tr>
      <w:tr w:rsidR="00CE16DE" w:rsidRPr="00CE16DE" w:rsidTr="00B30D92">
        <w:trPr>
          <w:trHeight w:hRule="exact" w:val="454"/>
          <w:jc w:val="center"/>
        </w:trPr>
        <w:tc>
          <w:tcPr>
            <w:tcW w:w="515" w:type="pct"/>
            <w:vMerge/>
            <w:vAlign w:val="center"/>
          </w:tcPr>
          <w:p w:rsidR="00CE16DE" w:rsidRPr="00CE16DE" w:rsidRDefault="00CE16DE" w:rsidP="00CE16DE">
            <w:pPr>
              <w:spacing w:line="240" w:lineRule="atLeast"/>
              <w:jc w:val="center"/>
              <w:rPr>
                <w:rFonts w:ascii="Times New Roman" w:eastAsia="仿宋" w:hAnsi="Times New Roman"/>
                <w:color w:val="000000"/>
                <w:sz w:val="24"/>
                <w:szCs w:val="24"/>
              </w:rPr>
            </w:pPr>
          </w:p>
        </w:tc>
        <w:tc>
          <w:tcPr>
            <w:tcW w:w="965" w:type="pct"/>
            <w:vMerge/>
          </w:tcPr>
          <w:p w:rsidR="00CE16DE" w:rsidRPr="00CE16DE" w:rsidRDefault="00CE16DE" w:rsidP="00CE16DE">
            <w:pPr>
              <w:spacing w:line="240" w:lineRule="atLeast"/>
              <w:jc w:val="center"/>
              <w:rPr>
                <w:rFonts w:ascii="Times New Roman" w:eastAsia="仿宋" w:hAnsi="Times New Roman"/>
                <w:color w:val="000000"/>
                <w:sz w:val="24"/>
                <w:szCs w:val="24"/>
              </w:rPr>
            </w:pPr>
          </w:p>
        </w:tc>
        <w:tc>
          <w:tcPr>
            <w:tcW w:w="1666" w:type="pct"/>
            <w:vMerge/>
          </w:tcPr>
          <w:p w:rsidR="00CE16DE" w:rsidRPr="00CE16DE" w:rsidRDefault="00CE16DE" w:rsidP="00CE16DE">
            <w:pPr>
              <w:spacing w:line="240" w:lineRule="atLeast"/>
              <w:jc w:val="center"/>
              <w:rPr>
                <w:rFonts w:ascii="Times New Roman" w:eastAsia="仿宋" w:hAnsi="Times New Roman"/>
                <w:color w:val="000000"/>
                <w:sz w:val="24"/>
                <w:szCs w:val="24"/>
              </w:rPr>
            </w:pPr>
          </w:p>
        </w:tc>
        <w:tc>
          <w:tcPr>
            <w:tcW w:w="906"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先进值</w:t>
            </w:r>
          </w:p>
        </w:tc>
        <w:tc>
          <w:tcPr>
            <w:tcW w:w="948"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合理值</w:t>
            </w:r>
          </w:p>
        </w:tc>
      </w:tr>
      <w:tr w:rsidR="00CE16DE" w:rsidRPr="00CE16DE" w:rsidTr="00B30D92">
        <w:trPr>
          <w:trHeight w:hRule="exact" w:val="459"/>
          <w:jc w:val="center"/>
        </w:trPr>
        <w:tc>
          <w:tcPr>
            <w:tcW w:w="5000" w:type="pct"/>
            <w:gridSpan w:val="5"/>
            <w:vAlign w:val="center"/>
          </w:tcPr>
          <w:p w:rsidR="00CE16DE" w:rsidRPr="00B55A66" w:rsidRDefault="00CE16DE" w:rsidP="00CE16DE">
            <w:pPr>
              <w:pStyle w:val="af7"/>
              <w:tabs>
                <w:tab w:val="clear" w:pos="360"/>
              </w:tabs>
              <w:spacing w:beforeLines="0" w:afterLines="0"/>
              <w:ind w:left="0"/>
              <w:rPr>
                <w:rFonts w:ascii="Times New Roman" w:eastAsia="仿宋"/>
                <w:sz w:val="24"/>
                <w:szCs w:val="24"/>
              </w:rPr>
            </w:pPr>
            <w:r w:rsidRPr="00B55A66">
              <w:rPr>
                <w:rFonts w:ascii="Times New Roman" w:eastAsia="仿宋"/>
                <w:sz w:val="24"/>
                <w:szCs w:val="24"/>
              </w:rPr>
              <w:t>中心城区独立办公形式机关办公建筑能耗指标</w:t>
            </w:r>
          </w:p>
        </w:tc>
      </w:tr>
      <w:tr w:rsidR="00CE16DE" w:rsidRPr="00CE16DE" w:rsidTr="00B30D92">
        <w:trPr>
          <w:trHeight w:hRule="exact" w:val="567"/>
          <w:jc w:val="center"/>
        </w:trPr>
        <w:tc>
          <w:tcPr>
            <w:tcW w:w="515"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C</w:t>
            </w:r>
          </w:p>
        </w:tc>
        <w:tc>
          <w:tcPr>
            <w:tcW w:w="965" w:type="pct"/>
            <w:vMerge w:val="restar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10,000</w:t>
            </w:r>
          </w:p>
        </w:tc>
        <w:tc>
          <w:tcPr>
            <w:tcW w:w="1666" w:type="pct"/>
            <w:vAlign w:val="center"/>
          </w:tcPr>
          <w:p w:rsidR="00CE16DE" w:rsidRPr="00CE16DE" w:rsidRDefault="00CE16DE" w:rsidP="00CE16DE">
            <w:pPr>
              <w:spacing w:line="240" w:lineRule="exac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分体式、多联分体式空调系统</w:t>
            </w:r>
          </w:p>
        </w:tc>
        <w:tc>
          <w:tcPr>
            <w:tcW w:w="906"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21.0</w:t>
            </w:r>
          </w:p>
        </w:tc>
        <w:tc>
          <w:tcPr>
            <w:tcW w:w="948"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31.0</w:t>
            </w:r>
          </w:p>
        </w:tc>
      </w:tr>
      <w:tr w:rsidR="00CE16DE" w:rsidRPr="00CE16DE" w:rsidTr="00B30D92">
        <w:trPr>
          <w:trHeight w:hRule="exact" w:val="567"/>
          <w:jc w:val="center"/>
        </w:trPr>
        <w:tc>
          <w:tcPr>
            <w:tcW w:w="515"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D</w:t>
            </w:r>
          </w:p>
        </w:tc>
        <w:tc>
          <w:tcPr>
            <w:tcW w:w="965" w:type="pct"/>
            <w:vMerge/>
          </w:tcPr>
          <w:p w:rsidR="00CE16DE" w:rsidRPr="00CE16DE" w:rsidRDefault="00CE16DE" w:rsidP="00CE16DE">
            <w:pPr>
              <w:spacing w:line="240" w:lineRule="atLeast"/>
              <w:jc w:val="center"/>
              <w:rPr>
                <w:rFonts w:ascii="Times New Roman" w:eastAsia="仿宋" w:hAnsi="Times New Roman"/>
                <w:color w:val="000000"/>
                <w:sz w:val="24"/>
                <w:szCs w:val="24"/>
              </w:rPr>
            </w:pPr>
          </w:p>
        </w:tc>
        <w:tc>
          <w:tcPr>
            <w:tcW w:w="1666" w:type="pct"/>
            <w:vAlign w:val="center"/>
          </w:tcPr>
          <w:p w:rsidR="00CE16DE" w:rsidRPr="00CE16DE" w:rsidRDefault="00CE16DE" w:rsidP="00CE16DE">
            <w:pPr>
              <w:spacing w:line="240" w:lineRule="exac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集中式空调系统</w:t>
            </w:r>
          </w:p>
        </w:tc>
        <w:tc>
          <w:tcPr>
            <w:tcW w:w="906"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24.0</w:t>
            </w:r>
          </w:p>
        </w:tc>
        <w:tc>
          <w:tcPr>
            <w:tcW w:w="948"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33.0</w:t>
            </w:r>
          </w:p>
        </w:tc>
      </w:tr>
      <w:tr w:rsidR="00CE16DE" w:rsidRPr="00CE16DE" w:rsidTr="00B30D92">
        <w:trPr>
          <w:trHeight w:hRule="exact" w:val="399"/>
          <w:jc w:val="center"/>
        </w:trPr>
        <w:tc>
          <w:tcPr>
            <w:tcW w:w="5000" w:type="pct"/>
            <w:gridSpan w:val="5"/>
            <w:vAlign w:val="center"/>
          </w:tcPr>
          <w:p w:rsidR="00CE16DE" w:rsidRPr="00CE16DE" w:rsidRDefault="00583286" w:rsidP="00CE16DE">
            <w:pPr>
              <w:pStyle w:val="af7"/>
              <w:tabs>
                <w:tab w:val="clear" w:pos="360"/>
              </w:tabs>
              <w:spacing w:beforeLines="0" w:afterLines="0"/>
              <w:ind w:left="-369"/>
              <w:rPr>
                <w:rFonts w:ascii="Times New Roman" w:eastAsia="仿宋"/>
                <w:color w:val="000000"/>
                <w:sz w:val="24"/>
                <w:szCs w:val="24"/>
              </w:rPr>
            </w:pPr>
            <w:r>
              <w:rPr>
                <w:rFonts w:ascii="Times New Roman" w:eastAsia="仿宋"/>
                <w:color w:val="000000"/>
                <w:sz w:val="24"/>
                <w:szCs w:val="24"/>
              </w:rPr>
              <w:t>非中心城区</w:t>
            </w:r>
            <w:r w:rsidR="00CE16DE" w:rsidRPr="00CE16DE">
              <w:rPr>
                <w:rFonts w:ascii="Times New Roman" w:eastAsia="仿宋"/>
                <w:color w:val="000000"/>
                <w:sz w:val="24"/>
                <w:szCs w:val="24"/>
              </w:rPr>
              <w:t>独立办公形式机关办公建筑能耗指标</w:t>
            </w:r>
          </w:p>
        </w:tc>
      </w:tr>
      <w:tr w:rsidR="00CE16DE" w:rsidRPr="00CE16DE" w:rsidTr="00B30D92">
        <w:trPr>
          <w:trHeight w:hRule="exact" w:val="567"/>
          <w:jc w:val="center"/>
        </w:trPr>
        <w:tc>
          <w:tcPr>
            <w:tcW w:w="515"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bookmarkStart w:id="27" w:name="OLE_LINK15"/>
            <w:bookmarkStart w:id="28" w:name="OLE_LINK16"/>
            <w:r w:rsidRPr="00CE16DE">
              <w:rPr>
                <w:rFonts w:ascii="Times New Roman" w:eastAsia="仿宋" w:hAnsi="Times New Roman"/>
                <w:color w:val="000000"/>
                <w:sz w:val="24"/>
                <w:szCs w:val="24"/>
              </w:rPr>
              <w:t>G</w:t>
            </w:r>
          </w:p>
        </w:tc>
        <w:tc>
          <w:tcPr>
            <w:tcW w:w="965" w:type="pct"/>
            <w:vMerge w:val="restar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10,000</w:t>
            </w:r>
          </w:p>
        </w:tc>
        <w:tc>
          <w:tcPr>
            <w:tcW w:w="1666" w:type="pct"/>
            <w:vAlign w:val="center"/>
          </w:tcPr>
          <w:p w:rsidR="00CE16DE" w:rsidRPr="00CE16DE" w:rsidRDefault="00CE16DE" w:rsidP="00CE16DE">
            <w:pPr>
              <w:spacing w:line="240" w:lineRule="exac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分体式、多联分体式空调系统</w:t>
            </w:r>
          </w:p>
        </w:tc>
        <w:tc>
          <w:tcPr>
            <w:tcW w:w="906"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20.0</w:t>
            </w:r>
          </w:p>
        </w:tc>
        <w:tc>
          <w:tcPr>
            <w:tcW w:w="948"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29.0</w:t>
            </w:r>
          </w:p>
        </w:tc>
      </w:tr>
      <w:tr w:rsidR="00CE16DE" w:rsidRPr="00CE16DE" w:rsidTr="00B30D92">
        <w:trPr>
          <w:trHeight w:hRule="exact" w:val="558"/>
          <w:jc w:val="center"/>
        </w:trPr>
        <w:tc>
          <w:tcPr>
            <w:tcW w:w="515"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H</w:t>
            </w:r>
          </w:p>
        </w:tc>
        <w:tc>
          <w:tcPr>
            <w:tcW w:w="965" w:type="pct"/>
            <w:vMerge/>
          </w:tcPr>
          <w:p w:rsidR="00CE16DE" w:rsidRPr="00CE16DE" w:rsidRDefault="00CE16DE" w:rsidP="00CE16DE">
            <w:pPr>
              <w:spacing w:line="240" w:lineRule="atLeast"/>
              <w:jc w:val="center"/>
              <w:rPr>
                <w:rFonts w:ascii="Times New Roman" w:eastAsia="仿宋" w:hAnsi="Times New Roman"/>
                <w:color w:val="000000"/>
                <w:sz w:val="24"/>
                <w:szCs w:val="24"/>
              </w:rPr>
            </w:pPr>
          </w:p>
        </w:tc>
        <w:tc>
          <w:tcPr>
            <w:tcW w:w="1666" w:type="pct"/>
            <w:vAlign w:val="center"/>
          </w:tcPr>
          <w:p w:rsidR="00CE16DE" w:rsidRPr="00CE16DE" w:rsidRDefault="00CE16DE" w:rsidP="00CE16DE">
            <w:pPr>
              <w:spacing w:line="240" w:lineRule="exac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集中式空调系统</w:t>
            </w:r>
          </w:p>
        </w:tc>
        <w:tc>
          <w:tcPr>
            <w:tcW w:w="906"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22.0</w:t>
            </w:r>
          </w:p>
        </w:tc>
        <w:tc>
          <w:tcPr>
            <w:tcW w:w="948" w:type="pct"/>
            <w:vAlign w:val="center"/>
          </w:tcPr>
          <w:p w:rsidR="00CE16DE" w:rsidRPr="00CE16DE" w:rsidRDefault="00CE16DE" w:rsidP="00CE16DE">
            <w:pPr>
              <w:spacing w:line="240" w:lineRule="atLeast"/>
              <w:jc w:val="center"/>
              <w:rPr>
                <w:rFonts w:ascii="Times New Roman" w:eastAsia="仿宋" w:hAnsi="Times New Roman"/>
                <w:color w:val="000000"/>
                <w:sz w:val="24"/>
                <w:szCs w:val="24"/>
              </w:rPr>
            </w:pPr>
            <w:r w:rsidRPr="00CE16DE">
              <w:rPr>
                <w:rFonts w:ascii="Times New Roman" w:eastAsia="仿宋" w:hAnsi="Times New Roman"/>
                <w:color w:val="000000"/>
                <w:sz w:val="24"/>
                <w:szCs w:val="24"/>
              </w:rPr>
              <w:t>≤ 30.0</w:t>
            </w:r>
          </w:p>
        </w:tc>
      </w:tr>
    </w:tbl>
    <w:bookmarkEnd w:id="27"/>
    <w:bookmarkEnd w:id="28"/>
    <w:p w:rsidR="00CE16DE" w:rsidRPr="00CE16DE" w:rsidRDefault="00CE16DE" w:rsidP="00DB66EC">
      <w:pPr>
        <w:spacing w:beforeLines="50" w:line="360" w:lineRule="auto"/>
        <w:rPr>
          <w:rFonts w:ascii="Times New Roman" w:eastAsia="仿宋" w:hAnsi="Times New Roman"/>
          <w:color w:val="000000" w:themeColor="text1"/>
          <w:sz w:val="30"/>
          <w:szCs w:val="30"/>
        </w:rPr>
      </w:pPr>
      <w:r w:rsidRPr="00CE16D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2</w:t>
      </w:r>
      <w:r w:rsidRPr="00CE16DE">
        <w:rPr>
          <w:rFonts w:ascii="Times New Roman" w:eastAsia="仿宋" w:hAnsi="Times New Roman" w:hint="eastAsia"/>
          <w:color w:val="000000" w:themeColor="text1"/>
          <w:sz w:val="30"/>
          <w:szCs w:val="30"/>
        </w:rPr>
        <w:t>）旅游饭店建筑总体对标情况</w:t>
      </w:r>
    </w:p>
    <w:p w:rsidR="00CE16DE" w:rsidRPr="00CE16DE" w:rsidRDefault="00CE16DE" w:rsidP="00DB66EC">
      <w:pPr>
        <w:spacing w:afterLines="50" w:line="360" w:lineRule="auto"/>
        <w:ind w:firstLineChars="200" w:firstLine="600"/>
        <w:rPr>
          <w:rFonts w:ascii="Times New Roman" w:eastAsia="仿宋" w:hAnsi="Times New Roman"/>
          <w:color w:val="000000" w:themeColor="text1"/>
          <w:sz w:val="30"/>
          <w:szCs w:val="30"/>
        </w:rPr>
      </w:pPr>
      <w:r w:rsidRPr="00CE16DE">
        <w:rPr>
          <w:rFonts w:ascii="Times New Roman" w:eastAsia="仿宋" w:hAnsi="Times New Roman"/>
          <w:color w:val="000000" w:themeColor="text1"/>
          <w:sz w:val="30"/>
          <w:szCs w:val="30"/>
        </w:rPr>
        <w:t>根据《星级饭店建筑合理用能指南》（</w:t>
      </w:r>
      <w:r w:rsidRPr="00CE16DE">
        <w:rPr>
          <w:rFonts w:ascii="Times New Roman" w:eastAsia="仿宋" w:hAnsi="Times New Roman"/>
          <w:color w:val="000000" w:themeColor="text1"/>
          <w:sz w:val="30"/>
          <w:szCs w:val="30"/>
        </w:rPr>
        <w:t>DB31/T551</w:t>
      </w:r>
      <w:r w:rsidRPr="00CE16DE">
        <w:rPr>
          <w:rFonts w:ascii="Times New Roman" w:eastAsia="仿宋" w:hAnsi="Times New Roman"/>
          <w:color w:val="000000" w:themeColor="text1"/>
          <w:sz w:val="30"/>
          <w:szCs w:val="30"/>
        </w:rPr>
        <w:t>）规定，星级饭店建筑</w:t>
      </w:r>
      <w:r w:rsidRPr="00CE16DE">
        <w:rPr>
          <w:rFonts w:ascii="Times New Roman" w:eastAsia="仿宋" w:hAnsi="Times New Roman" w:hint="eastAsia"/>
          <w:color w:val="000000" w:themeColor="text1"/>
          <w:sz w:val="30"/>
          <w:szCs w:val="30"/>
        </w:rPr>
        <w:t>根据</w:t>
      </w:r>
      <w:r w:rsidRPr="00CE16DE">
        <w:rPr>
          <w:rFonts w:ascii="Times New Roman" w:eastAsia="仿宋" w:hAnsi="Times New Roman"/>
          <w:color w:val="000000" w:themeColor="text1"/>
          <w:sz w:val="30"/>
          <w:szCs w:val="30"/>
        </w:rPr>
        <w:t>星级</w:t>
      </w:r>
      <w:r w:rsidRPr="00CE16DE">
        <w:rPr>
          <w:rFonts w:ascii="Times New Roman" w:eastAsia="仿宋" w:hAnsi="Times New Roman" w:hint="eastAsia"/>
          <w:color w:val="000000" w:themeColor="text1"/>
          <w:sz w:val="30"/>
          <w:szCs w:val="30"/>
        </w:rPr>
        <w:t>分类，对应相应能耗指标，</w:t>
      </w:r>
      <w:r w:rsidRPr="00CE16DE">
        <w:rPr>
          <w:rFonts w:ascii="Times New Roman" w:eastAsia="仿宋" w:hAnsi="Times New Roman"/>
          <w:color w:val="000000" w:themeColor="text1"/>
          <w:sz w:val="30"/>
          <w:szCs w:val="30"/>
        </w:rPr>
        <w:t>如表</w:t>
      </w:r>
      <w:r w:rsidR="00FE4F21">
        <w:rPr>
          <w:rFonts w:ascii="Times New Roman" w:eastAsia="仿宋" w:hAnsi="Times New Roman"/>
          <w:color w:val="000000" w:themeColor="text1"/>
          <w:sz w:val="30"/>
          <w:szCs w:val="30"/>
        </w:rPr>
        <w:t>7</w:t>
      </w:r>
      <w:r w:rsidRPr="00CE16DE">
        <w:rPr>
          <w:rFonts w:ascii="Times New Roman" w:eastAsia="仿宋" w:hAnsi="Times New Roman"/>
          <w:color w:val="000000" w:themeColor="text1"/>
          <w:sz w:val="30"/>
          <w:szCs w:val="30"/>
        </w:rPr>
        <w:t>所示</w:t>
      </w:r>
      <w:r w:rsidRPr="00CE16DE">
        <w:rPr>
          <w:rFonts w:ascii="Times New Roman" w:eastAsia="仿宋" w:hAnsi="Times New Roman" w:hint="eastAsia"/>
          <w:color w:val="000000" w:themeColor="text1"/>
          <w:sz w:val="30"/>
          <w:szCs w:val="30"/>
        </w:rPr>
        <w:t>。</w:t>
      </w:r>
    </w:p>
    <w:p w:rsidR="00CE16DE" w:rsidRPr="00CE16DE" w:rsidRDefault="00CE16DE" w:rsidP="00CE16DE">
      <w:pPr>
        <w:pStyle w:val="af9"/>
        <w:jc w:val="center"/>
        <w:rPr>
          <w:rFonts w:ascii="Times New Roman" w:eastAsia="仿宋" w:hAnsi="Times New Roman" w:cs="Times New Roman"/>
          <w:color w:val="000000" w:themeColor="text1"/>
          <w:sz w:val="24"/>
          <w:szCs w:val="24"/>
        </w:rPr>
      </w:pPr>
      <w:r w:rsidRPr="00CE16DE">
        <w:rPr>
          <w:rFonts w:ascii="Times New Roman" w:eastAsia="仿宋" w:hAnsi="Times New Roman" w:cs="Times New Roman"/>
          <w:color w:val="000000" w:themeColor="text1"/>
          <w:sz w:val="24"/>
          <w:szCs w:val="24"/>
        </w:rPr>
        <w:t>表</w:t>
      </w:r>
      <w:r w:rsidR="00FE4F21">
        <w:rPr>
          <w:rFonts w:ascii="Times New Roman" w:eastAsia="仿宋" w:hAnsi="Times New Roman" w:cs="Times New Roman"/>
          <w:color w:val="000000" w:themeColor="text1"/>
          <w:sz w:val="24"/>
          <w:szCs w:val="24"/>
        </w:rPr>
        <w:t>7</w:t>
      </w:r>
      <w:r w:rsidRPr="00CE16DE">
        <w:rPr>
          <w:rFonts w:ascii="Times New Roman" w:eastAsia="仿宋" w:hAnsi="Times New Roman" w:cs="Times New Roman"/>
          <w:color w:val="000000" w:themeColor="text1"/>
          <w:sz w:val="24"/>
          <w:szCs w:val="24"/>
        </w:rPr>
        <w:t>星级饭店建筑合理用能指标要求</w:t>
      </w:r>
    </w:p>
    <w:tbl>
      <w:tblPr>
        <w:tblW w:w="5103"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1950"/>
        <w:gridCol w:w="3336"/>
        <w:gridCol w:w="3418"/>
      </w:tblGrid>
      <w:tr w:rsidR="00CE16DE" w:rsidRPr="00CE16DE" w:rsidTr="00990757">
        <w:trPr>
          <w:trHeight w:val="933"/>
          <w:jc w:val="center"/>
        </w:trPr>
        <w:tc>
          <w:tcPr>
            <w:tcW w:w="1191"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星级饭店类型</w:t>
            </w:r>
          </w:p>
        </w:tc>
        <w:tc>
          <w:tcPr>
            <w:tcW w:w="1775"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可比单位建筑综合能耗合理值</w:t>
            </w:r>
          </w:p>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kgce/(m</w:t>
            </w:r>
            <w:r w:rsidRPr="00CE16DE">
              <w:rPr>
                <w:rFonts w:ascii="Times New Roman" w:eastAsia="仿宋" w:hAnsi="Times New Roman"/>
                <w:color w:val="000000" w:themeColor="text1"/>
                <w:kern w:val="0"/>
                <w:sz w:val="24"/>
                <w:szCs w:val="24"/>
                <w:vertAlign w:val="superscript"/>
              </w:rPr>
              <w:t>2</w:t>
            </w:r>
            <w:r w:rsidRPr="00CE16DE">
              <w:rPr>
                <w:rFonts w:ascii="Times New Roman" w:hAnsi="Times New Roman"/>
                <w:color w:val="000000" w:themeColor="text1"/>
                <w:kern w:val="0"/>
                <w:sz w:val="24"/>
                <w:szCs w:val="24"/>
              </w:rPr>
              <w:t>•</w:t>
            </w:r>
            <w:r w:rsidRPr="00CE16DE">
              <w:rPr>
                <w:rFonts w:ascii="Times New Roman" w:eastAsia="仿宋" w:hAnsi="Times New Roman"/>
                <w:color w:val="000000" w:themeColor="text1"/>
                <w:kern w:val="0"/>
                <w:sz w:val="24"/>
                <w:szCs w:val="24"/>
              </w:rPr>
              <w:t>a)</w:t>
            </w:r>
          </w:p>
        </w:tc>
        <w:tc>
          <w:tcPr>
            <w:tcW w:w="2035" w:type="pct"/>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可比单位建筑综合能耗先进值</w:t>
            </w:r>
          </w:p>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kgce/(m</w:t>
            </w:r>
            <w:r w:rsidRPr="00CE16DE">
              <w:rPr>
                <w:rFonts w:ascii="Times New Roman" w:eastAsia="仿宋" w:hAnsi="Times New Roman"/>
                <w:color w:val="000000" w:themeColor="text1"/>
                <w:kern w:val="0"/>
                <w:sz w:val="24"/>
                <w:szCs w:val="24"/>
                <w:vertAlign w:val="superscript"/>
              </w:rPr>
              <w:t>2</w:t>
            </w:r>
            <w:r w:rsidRPr="00CE16DE">
              <w:rPr>
                <w:rFonts w:ascii="Times New Roman" w:hAnsi="Times New Roman"/>
                <w:color w:val="000000" w:themeColor="text1"/>
                <w:kern w:val="0"/>
                <w:sz w:val="24"/>
                <w:szCs w:val="24"/>
              </w:rPr>
              <w:t>•</w:t>
            </w:r>
            <w:r w:rsidRPr="00CE16DE">
              <w:rPr>
                <w:rFonts w:ascii="Times New Roman" w:eastAsia="仿宋" w:hAnsi="Times New Roman"/>
                <w:color w:val="000000" w:themeColor="text1"/>
                <w:kern w:val="0"/>
                <w:sz w:val="24"/>
                <w:szCs w:val="24"/>
              </w:rPr>
              <w:t>a)</w:t>
            </w:r>
          </w:p>
        </w:tc>
      </w:tr>
      <w:tr w:rsidR="00CE16DE" w:rsidRPr="00CE16DE" w:rsidTr="00990757">
        <w:trPr>
          <w:trHeight w:val="437"/>
          <w:jc w:val="center"/>
        </w:trPr>
        <w:tc>
          <w:tcPr>
            <w:tcW w:w="1191"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五星级饭店</w:t>
            </w:r>
          </w:p>
        </w:tc>
        <w:tc>
          <w:tcPr>
            <w:tcW w:w="1775"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bookmarkStart w:id="29" w:name="OLE_LINK1"/>
            <w:r w:rsidRPr="00CE16DE">
              <w:rPr>
                <w:rFonts w:ascii="Times New Roman" w:eastAsia="仿宋" w:hAnsi="Times New Roman"/>
                <w:color w:val="000000" w:themeColor="text1"/>
                <w:kern w:val="0"/>
                <w:sz w:val="24"/>
                <w:szCs w:val="24"/>
              </w:rPr>
              <w:t>≤</w:t>
            </w:r>
            <w:bookmarkEnd w:id="29"/>
            <w:r w:rsidRPr="00CE16DE">
              <w:rPr>
                <w:rFonts w:ascii="Times New Roman" w:eastAsia="仿宋" w:hAnsi="Times New Roman"/>
                <w:color w:val="000000" w:themeColor="text1"/>
                <w:kern w:val="0"/>
                <w:sz w:val="24"/>
                <w:szCs w:val="24"/>
              </w:rPr>
              <w:t xml:space="preserve"> 77</w:t>
            </w:r>
          </w:p>
        </w:tc>
        <w:tc>
          <w:tcPr>
            <w:tcW w:w="2035" w:type="pct"/>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 55</w:t>
            </w:r>
          </w:p>
        </w:tc>
      </w:tr>
      <w:tr w:rsidR="00CE16DE" w:rsidRPr="00CE16DE" w:rsidTr="00990757">
        <w:trPr>
          <w:trHeight w:val="437"/>
          <w:jc w:val="center"/>
        </w:trPr>
        <w:tc>
          <w:tcPr>
            <w:tcW w:w="1191"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四星级饭店</w:t>
            </w:r>
          </w:p>
        </w:tc>
        <w:tc>
          <w:tcPr>
            <w:tcW w:w="1775"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 64</w:t>
            </w:r>
          </w:p>
        </w:tc>
        <w:tc>
          <w:tcPr>
            <w:tcW w:w="2035" w:type="pct"/>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 48</w:t>
            </w:r>
          </w:p>
        </w:tc>
      </w:tr>
      <w:tr w:rsidR="00CE16DE" w:rsidRPr="00CE16DE" w:rsidTr="00990757">
        <w:trPr>
          <w:trHeight w:val="437"/>
          <w:jc w:val="center"/>
        </w:trPr>
        <w:tc>
          <w:tcPr>
            <w:tcW w:w="1191"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一至三星级饭店</w:t>
            </w:r>
          </w:p>
        </w:tc>
        <w:tc>
          <w:tcPr>
            <w:tcW w:w="1775" w:type="pct"/>
            <w:noWrap/>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 53</w:t>
            </w:r>
          </w:p>
        </w:tc>
        <w:tc>
          <w:tcPr>
            <w:tcW w:w="2035" w:type="pct"/>
            <w:vAlign w:val="center"/>
          </w:tcPr>
          <w:p w:rsidR="00CE16DE" w:rsidRPr="00CE16DE" w:rsidRDefault="00CE16DE" w:rsidP="00CE16DE">
            <w:pPr>
              <w:widowControl/>
              <w:jc w:val="center"/>
              <w:rPr>
                <w:rFonts w:ascii="Times New Roman" w:eastAsia="仿宋" w:hAnsi="Times New Roman"/>
                <w:color w:val="000000" w:themeColor="text1"/>
                <w:kern w:val="0"/>
                <w:sz w:val="24"/>
                <w:szCs w:val="24"/>
              </w:rPr>
            </w:pPr>
            <w:r w:rsidRPr="00CE16DE">
              <w:rPr>
                <w:rFonts w:ascii="Times New Roman" w:eastAsia="仿宋" w:hAnsi="Times New Roman"/>
                <w:color w:val="000000" w:themeColor="text1"/>
                <w:kern w:val="0"/>
                <w:sz w:val="24"/>
                <w:szCs w:val="24"/>
              </w:rPr>
              <w:t>≤ 41</w:t>
            </w:r>
          </w:p>
        </w:tc>
      </w:tr>
    </w:tbl>
    <w:p w:rsidR="00CE16DE" w:rsidRPr="00CE16DE" w:rsidRDefault="00CE16DE" w:rsidP="00DB66EC">
      <w:pPr>
        <w:spacing w:beforeLines="50" w:line="360" w:lineRule="auto"/>
        <w:ind w:firstLineChars="200" w:firstLine="600"/>
        <w:rPr>
          <w:rFonts w:ascii="Times New Roman" w:eastAsia="仿宋" w:hAnsi="Times New Roman"/>
          <w:color w:val="000000" w:themeColor="text1"/>
          <w:sz w:val="30"/>
          <w:szCs w:val="30"/>
        </w:rPr>
      </w:pPr>
      <w:bookmarkStart w:id="30" w:name="_Toc382314152"/>
      <w:bookmarkStart w:id="31" w:name="_Toc442189498"/>
      <w:r w:rsidRPr="00CE16DE">
        <w:rPr>
          <w:rFonts w:ascii="Times New Roman" w:eastAsia="仿宋" w:hAnsi="Times New Roman"/>
          <w:color w:val="000000" w:themeColor="text1"/>
          <w:sz w:val="30"/>
          <w:szCs w:val="30"/>
        </w:rPr>
        <w:t>2016</w:t>
      </w:r>
      <w:r w:rsidR="00B33332">
        <w:rPr>
          <w:rFonts w:ascii="Times New Roman" w:eastAsia="仿宋" w:hAnsi="Times New Roman"/>
          <w:color w:val="000000" w:themeColor="text1"/>
          <w:sz w:val="30"/>
          <w:szCs w:val="30"/>
        </w:rPr>
        <w:t>年</w:t>
      </w:r>
      <w:r w:rsidRPr="00CE16DE">
        <w:rPr>
          <w:rFonts w:ascii="Times New Roman" w:eastAsia="仿宋" w:hAnsi="Times New Roman" w:hint="eastAsia"/>
          <w:color w:val="000000" w:themeColor="text1"/>
          <w:sz w:val="30"/>
          <w:szCs w:val="30"/>
        </w:rPr>
        <w:t>纳入</w:t>
      </w:r>
      <w:r w:rsidR="00696491">
        <w:rPr>
          <w:rFonts w:ascii="Times New Roman" w:eastAsia="仿宋" w:hAnsi="Times New Roman" w:hint="eastAsia"/>
          <w:color w:val="000000" w:themeColor="text1"/>
          <w:sz w:val="30"/>
          <w:szCs w:val="30"/>
        </w:rPr>
        <w:t>能耗监测平台</w:t>
      </w:r>
      <w:r w:rsidRPr="00CE16DE">
        <w:rPr>
          <w:rFonts w:ascii="Times New Roman" w:eastAsia="仿宋" w:hAnsi="Times New Roman" w:hint="eastAsia"/>
          <w:color w:val="000000" w:themeColor="text1"/>
          <w:sz w:val="30"/>
          <w:szCs w:val="30"/>
        </w:rPr>
        <w:t>监测的旅游饭店</w:t>
      </w:r>
      <w:r w:rsidRPr="00CE16DE">
        <w:rPr>
          <w:rFonts w:ascii="Times New Roman" w:eastAsia="仿宋" w:hAnsi="Times New Roman"/>
          <w:color w:val="000000" w:themeColor="text1"/>
          <w:sz w:val="30"/>
          <w:szCs w:val="30"/>
        </w:rPr>
        <w:t>建筑单位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年耗</w:t>
      </w:r>
      <w:r w:rsidRPr="00CE16DE">
        <w:rPr>
          <w:rFonts w:ascii="Times New Roman" w:eastAsia="仿宋" w:hAnsi="Times New Roman" w:hint="eastAsia"/>
          <w:color w:val="000000" w:themeColor="text1"/>
          <w:sz w:val="30"/>
          <w:szCs w:val="30"/>
        </w:rPr>
        <w:t>电量</w:t>
      </w:r>
      <w:r w:rsidRPr="00CE16DE">
        <w:rPr>
          <w:rFonts w:ascii="Times New Roman" w:eastAsia="仿宋" w:hAnsi="Times New Roman"/>
          <w:color w:val="000000" w:themeColor="text1"/>
          <w:sz w:val="30"/>
          <w:szCs w:val="30"/>
        </w:rPr>
        <w:t>为</w:t>
      </w:r>
      <w:r w:rsidRPr="00CE16DE">
        <w:rPr>
          <w:rFonts w:ascii="Times New Roman" w:eastAsia="仿宋" w:hAnsi="Times New Roman"/>
          <w:color w:val="000000" w:themeColor="text1"/>
          <w:sz w:val="30"/>
          <w:szCs w:val="30"/>
        </w:rPr>
        <w:t>124.8 kWh/ (m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，折算成标准煤为</w:t>
      </w:r>
      <w:r w:rsidRPr="00CE16DE">
        <w:rPr>
          <w:rFonts w:ascii="Times New Roman" w:eastAsia="仿宋" w:hAnsi="Times New Roman"/>
          <w:color w:val="000000" w:themeColor="text1"/>
          <w:sz w:val="30"/>
          <w:szCs w:val="30"/>
        </w:rPr>
        <w:t>37.4 kgce/(m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w:t>
      </w:r>
    </w:p>
    <w:p w:rsidR="00CE16DE" w:rsidRPr="00CE16DE" w:rsidRDefault="00CE16DE" w:rsidP="00E82E10">
      <w:pPr>
        <w:spacing w:line="360" w:lineRule="auto"/>
        <w:ind w:firstLineChars="200" w:firstLine="600"/>
        <w:rPr>
          <w:rFonts w:ascii="Times New Roman" w:eastAsia="仿宋" w:hAnsi="Times New Roman"/>
          <w:sz w:val="30"/>
          <w:szCs w:val="30"/>
        </w:rPr>
      </w:pPr>
      <w:r w:rsidRPr="00CE16DE">
        <w:rPr>
          <w:rFonts w:ascii="Times New Roman" w:eastAsia="仿宋" w:hAnsi="Times New Roman"/>
          <w:sz w:val="30"/>
          <w:szCs w:val="30"/>
        </w:rPr>
        <w:t>与其他类型大型公共建筑相比，星级饭店建筑非电力能耗，如燃油、燃气等占综合能耗的比例较高。根据本市星级饭店能源审计报告提出的饭店综合</w:t>
      </w:r>
      <w:r w:rsidRPr="00CE16DE">
        <w:rPr>
          <w:rFonts w:ascii="Times New Roman" w:eastAsia="仿宋" w:hAnsi="Times New Roman" w:hint="eastAsia"/>
          <w:sz w:val="30"/>
          <w:szCs w:val="30"/>
        </w:rPr>
        <w:t>能耗</w:t>
      </w:r>
      <w:r w:rsidRPr="00CE16DE">
        <w:rPr>
          <w:rFonts w:ascii="Times New Roman" w:eastAsia="仿宋" w:hAnsi="Times New Roman"/>
          <w:sz w:val="30"/>
          <w:szCs w:val="30"/>
        </w:rPr>
        <w:t>特点分析结论，电耗占其综合</w:t>
      </w:r>
      <w:r w:rsidRPr="00CE16DE">
        <w:rPr>
          <w:rFonts w:ascii="Times New Roman" w:eastAsia="仿宋" w:hAnsi="Times New Roman" w:hint="eastAsia"/>
          <w:sz w:val="30"/>
          <w:szCs w:val="30"/>
        </w:rPr>
        <w:t>能耗</w:t>
      </w:r>
      <w:r w:rsidRPr="00CE16DE">
        <w:rPr>
          <w:rFonts w:ascii="Times New Roman" w:eastAsia="仿宋" w:hAnsi="Times New Roman"/>
          <w:sz w:val="30"/>
          <w:szCs w:val="30"/>
        </w:rPr>
        <w:t>比例约为</w:t>
      </w:r>
      <w:r w:rsidRPr="00CE16DE">
        <w:rPr>
          <w:rFonts w:ascii="Times New Roman" w:eastAsia="仿宋" w:hAnsi="Times New Roman"/>
          <w:sz w:val="30"/>
          <w:szCs w:val="30"/>
        </w:rPr>
        <w:t>70%</w:t>
      </w:r>
      <w:r w:rsidRPr="00CE16DE">
        <w:rPr>
          <w:rFonts w:ascii="Times New Roman" w:eastAsia="仿宋" w:hAnsi="Times New Roman"/>
          <w:sz w:val="30"/>
          <w:szCs w:val="30"/>
        </w:rPr>
        <w:t>，其</w:t>
      </w:r>
      <w:r w:rsidRPr="00CE16DE">
        <w:rPr>
          <w:rFonts w:ascii="Times New Roman" w:eastAsia="仿宋" w:hAnsi="Times New Roman" w:hint="eastAsia"/>
          <w:sz w:val="30"/>
          <w:szCs w:val="30"/>
        </w:rPr>
        <w:t>他</w:t>
      </w:r>
      <w:r w:rsidRPr="00CE16DE">
        <w:rPr>
          <w:rFonts w:ascii="Times New Roman" w:eastAsia="仿宋" w:hAnsi="Times New Roman"/>
          <w:sz w:val="30"/>
          <w:szCs w:val="30"/>
        </w:rPr>
        <w:t>形式用能占综合能耗</w:t>
      </w:r>
      <w:r w:rsidRPr="00CE16DE">
        <w:rPr>
          <w:rFonts w:ascii="Times New Roman" w:eastAsia="仿宋" w:hAnsi="Times New Roman"/>
          <w:sz w:val="30"/>
          <w:szCs w:val="30"/>
        </w:rPr>
        <w:t>30%</w:t>
      </w:r>
      <w:r w:rsidRPr="00CE16DE">
        <w:rPr>
          <w:rFonts w:ascii="Times New Roman" w:eastAsia="仿宋" w:hAnsi="Times New Roman"/>
          <w:sz w:val="30"/>
          <w:szCs w:val="30"/>
        </w:rPr>
        <w:t>。</w:t>
      </w:r>
    </w:p>
    <w:p w:rsidR="00CE16DE" w:rsidRPr="00CE16DE" w:rsidRDefault="00CE16DE" w:rsidP="00E82E10">
      <w:pPr>
        <w:spacing w:line="360" w:lineRule="auto"/>
        <w:ind w:firstLineChars="200" w:firstLine="600"/>
        <w:rPr>
          <w:rFonts w:ascii="Times New Roman" w:eastAsia="仿宋" w:hAnsi="Times New Roman"/>
          <w:sz w:val="30"/>
          <w:szCs w:val="30"/>
        </w:rPr>
      </w:pPr>
      <w:r w:rsidRPr="00CE16DE">
        <w:rPr>
          <w:rFonts w:ascii="Times New Roman" w:eastAsia="仿宋" w:hAnsi="Times New Roman"/>
          <w:sz w:val="30"/>
          <w:szCs w:val="30"/>
        </w:rPr>
        <w:t>根据上述比例，推算星级饭店建筑年综合能耗为</w:t>
      </w:r>
      <w:r w:rsidRPr="00CE16DE">
        <w:rPr>
          <w:rFonts w:ascii="Times New Roman" w:eastAsia="仿宋" w:hAnsi="Times New Roman"/>
          <w:sz w:val="30"/>
          <w:szCs w:val="30"/>
        </w:rPr>
        <w:t xml:space="preserve">53.4 </w:t>
      </w:r>
      <w:r w:rsidRPr="00CE16DE">
        <w:rPr>
          <w:rFonts w:ascii="Times New Roman" w:eastAsia="仿宋" w:hAnsi="Times New Roman"/>
          <w:sz w:val="30"/>
          <w:szCs w:val="30"/>
        </w:rPr>
        <w:lastRenderedPageBreak/>
        <w:t>kgce/(m</w:t>
      </w:r>
      <w:r w:rsidRPr="00CE16DE">
        <w:rPr>
          <w:rFonts w:ascii="Times New Roman" w:eastAsia="仿宋" w:hAnsi="Times New Roman"/>
          <w:sz w:val="30"/>
          <w:szCs w:val="30"/>
          <w:vertAlign w:val="superscript"/>
        </w:rPr>
        <w:t>2</w:t>
      </w:r>
      <w:r w:rsidRPr="00CE16DE">
        <w:rPr>
          <w:rFonts w:ascii="Times New Roman" w:hAnsi="Times New Roman"/>
          <w:sz w:val="30"/>
          <w:szCs w:val="30"/>
        </w:rPr>
        <w:t>•</w:t>
      </w:r>
      <w:r w:rsidRPr="00CE16DE">
        <w:rPr>
          <w:rFonts w:ascii="Times New Roman" w:eastAsia="仿宋" w:hAnsi="Times New Roman"/>
          <w:sz w:val="30"/>
          <w:szCs w:val="30"/>
        </w:rPr>
        <w:t>a)</w:t>
      </w:r>
      <w:r w:rsidRPr="00CE16DE">
        <w:rPr>
          <w:rFonts w:ascii="Times New Roman" w:eastAsia="仿宋" w:hAnsi="Times New Roman"/>
          <w:sz w:val="30"/>
          <w:szCs w:val="30"/>
        </w:rPr>
        <w:t>，</w:t>
      </w:r>
      <w:r w:rsidR="00493CC2">
        <w:rPr>
          <w:rFonts w:ascii="Times New Roman" w:eastAsia="仿宋" w:hAnsi="Times New Roman" w:hint="eastAsia"/>
          <w:sz w:val="30"/>
          <w:szCs w:val="30"/>
        </w:rPr>
        <w:t>因接入能耗监测平台的饭店建筑基本为四星级以上，故</w:t>
      </w:r>
      <w:r w:rsidRPr="00CE16DE">
        <w:rPr>
          <w:rFonts w:ascii="Times New Roman" w:eastAsia="仿宋" w:hAnsi="Times New Roman"/>
          <w:sz w:val="30"/>
          <w:szCs w:val="30"/>
        </w:rPr>
        <w:t>该值</w:t>
      </w:r>
      <w:r w:rsidRPr="00CE16DE">
        <w:rPr>
          <w:rFonts w:ascii="Times New Roman" w:eastAsia="仿宋" w:hAnsi="Times New Roman" w:hint="eastAsia"/>
          <w:sz w:val="30"/>
          <w:szCs w:val="30"/>
        </w:rPr>
        <w:t>满足用能指标合</w:t>
      </w:r>
      <w:r w:rsidRPr="00CE16DE">
        <w:rPr>
          <w:rFonts w:ascii="Times New Roman" w:eastAsia="仿宋" w:hAnsi="Times New Roman"/>
          <w:sz w:val="30"/>
          <w:szCs w:val="30"/>
        </w:rPr>
        <w:t>理值</w:t>
      </w:r>
      <w:r w:rsidRPr="00CE16DE">
        <w:rPr>
          <w:rFonts w:ascii="Times New Roman" w:eastAsia="仿宋" w:hAnsi="Times New Roman" w:hint="eastAsia"/>
          <w:sz w:val="30"/>
          <w:szCs w:val="30"/>
        </w:rPr>
        <w:t>要求</w:t>
      </w:r>
      <w:r w:rsidRPr="00CE16DE">
        <w:rPr>
          <w:rFonts w:ascii="Times New Roman" w:eastAsia="仿宋" w:hAnsi="Times New Roman"/>
          <w:sz w:val="30"/>
          <w:szCs w:val="30"/>
        </w:rPr>
        <w:t>。</w:t>
      </w:r>
    </w:p>
    <w:p w:rsidR="00CE16DE" w:rsidRPr="00CE16DE" w:rsidRDefault="00CE16DE" w:rsidP="00DB66EC">
      <w:pPr>
        <w:widowControl/>
        <w:spacing w:beforeLines="50" w:line="360" w:lineRule="auto"/>
        <w:jc w:val="left"/>
        <w:rPr>
          <w:rFonts w:ascii="Times New Roman" w:eastAsia="仿宋" w:hAnsi="Times New Roman"/>
          <w:color w:val="000000" w:themeColor="text1"/>
          <w:sz w:val="30"/>
          <w:szCs w:val="30"/>
        </w:rPr>
      </w:pPr>
      <w:r w:rsidRPr="00CE16D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3</w:t>
      </w:r>
      <w:r w:rsidRPr="00CE16DE">
        <w:rPr>
          <w:rFonts w:ascii="Times New Roman" w:eastAsia="仿宋" w:hAnsi="Times New Roman" w:hint="eastAsia"/>
          <w:color w:val="000000" w:themeColor="text1"/>
          <w:sz w:val="30"/>
          <w:szCs w:val="30"/>
        </w:rPr>
        <w:t>）办公建筑总体对标情况</w:t>
      </w:r>
    </w:p>
    <w:p w:rsidR="00CE16DE" w:rsidRDefault="00CE16DE" w:rsidP="00DB66EC">
      <w:pPr>
        <w:spacing w:afterLines="50" w:line="360" w:lineRule="auto"/>
        <w:ind w:firstLineChars="200" w:firstLine="600"/>
        <w:rPr>
          <w:rFonts w:ascii="Times New Roman" w:eastAsia="仿宋" w:hAnsi="Times New Roman"/>
          <w:color w:val="000000" w:themeColor="text1"/>
          <w:sz w:val="30"/>
          <w:szCs w:val="30"/>
        </w:rPr>
      </w:pPr>
      <w:r w:rsidRPr="00CE16DE">
        <w:rPr>
          <w:rFonts w:ascii="Times New Roman" w:eastAsia="仿宋" w:hAnsi="Times New Roman"/>
          <w:bCs/>
          <w:color w:val="000000" w:themeColor="text1"/>
          <w:sz w:val="30"/>
          <w:szCs w:val="30"/>
        </w:rPr>
        <w:t>根据</w:t>
      </w:r>
      <w:r w:rsidRPr="00CE16DE">
        <w:rPr>
          <w:rFonts w:ascii="Times New Roman" w:eastAsia="仿宋" w:hAnsi="Times New Roman"/>
          <w:color w:val="000000" w:themeColor="text1"/>
          <w:sz w:val="30"/>
          <w:szCs w:val="30"/>
        </w:rPr>
        <w:t>《综合建筑合理用能指南》（</w:t>
      </w:r>
      <w:r w:rsidRPr="00CE16DE">
        <w:rPr>
          <w:rFonts w:ascii="Times New Roman" w:eastAsia="仿宋" w:hAnsi="Times New Roman"/>
          <w:color w:val="000000" w:themeColor="text1"/>
          <w:sz w:val="30"/>
          <w:szCs w:val="30"/>
        </w:rPr>
        <w:t>DB 31/T555</w:t>
      </w:r>
      <w:r w:rsidRPr="00CE16DE">
        <w:rPr>
          <w:rFonts w:ascii="Times New Roman" w:eastAsia="仿宋" w:hAnsi="Times New Roman"/>
          <w:color w:val="000000" w:themeColor="text1"/>
          <w:sz w:val="30"/>
          <w:szCs w:val="30"/>
        </w:rPr>
        <w:t>）</w:t>
      </w:r>
      <w:r w:rsidRPr="00CE16DE">
        <w:rPr>
          <w:rFonts w:ascii="Times New Roman" w:eastAsia="仿宋" w:hAnsi="Times New Roman"/>
          <w:bCs/>
          <w:color w:val="000000" w:themeColor="text1"/>
          <w:sz w:val="30"/>
          <w:szCs w:val="30"/>
        </w:rPr>
        <w:t>规定，综合建筑</w:t>
      </w:r>
      <w:r w:rsidRPr="00CE16DE">
        <w:rPr>
          <w:rFonts w:ascii="Times New Roman" w:eastAsia="仿宋" w:hAnsi="Times New Roman" w:hint="eastAsia"/>
          <w:bCs/>
          <w:color w:val="000000" w:themeColor="text1"/>
          <w:sz w:val="30"/>
          <w:szCs w:val="30"/>
        </w:rPr>
        <w:t>根据</w:t>
      </w:r>
      <w:r w:rsidRPr="00CE16DE">
        <w:rPr>
          <w:rFonts w:ascii="Times New Roman" w:eastAsia="仿宋" w:hAnsi="Times New Roman"/>
          <w:bCs/>
          <w:color w:val="000000" w:themeColor="text1"/>
          <w:sz w:val="30"/>
          <w:szCs w:val="30"/>
        </w:rPr>
        <w:t>功能分为五个区域，每个功能区域有其相应的</w:t>
      </w:r>
      <w:r w:rsidRPr="00CE16DE">
        <w:rPr>
          <w:rFonts w:ascii="Times New Roman" w:eastAsia="仿宋" w:hAnsi="Times New Roman" w:hint="eastAsia"/>
          <w:bCs/>
          <w:color w:val="000000" w:themeColor="text1"/>
          <w:sz w:val="30"/>
          <w:szCs w:val="30"/>
        </w:rPr>
        <w:t>指标</w:t>
      </w:r>
      <w:r w:rsidRPr="00CE16DE">
        <w:rPr>
          <w:rFonts w:ascii="Times New Roman" w:eastAsia="仿宋" w:hAnsi="Times New Roman"/>
          <w:bCs/>
          <w:color w:val="000000" w:themeColor="text1"/>
          <w:sz w:val="30"/>
          <w:szCs w:val="30"/>
        </w:rPr>
        <w:t>。办公</w:t>
      </w:r>
      <w:r w:rsidRPr="00CE16DE">
        <w:rPr>
          <w:rFonts w:ascii="Times New Roman" w:eastAsia="仿宋" w:hAnsi="Times New Roman" w:hint="eastAsia"/>
          <w:bCs/>
          <w:color w:val="000000" w:themeColor="text1"/>
          <w:sz w:val="30"/>
          <w:szCs w:val="30"/>
        </w:rPr>
        <w:t>建筑功能</w:t>
      </w:r>
      <w:r w:rsidRPr="00CE16DE">
        <w:rPr>
          <w:rFonts w:ascii="Times New Roman" w:eastAsia="仿宋" w:hAnsi="Times New Roman"/>
          <w:bCs/>
          <w:color w:val="000000" w:themeColor="text1"/>
          <w:sz w:val="30"/>
          <w:szCs w:val="30"/>
        </w:rPr>
        <w:t>区域</w:t>
      </w:r>
      <w:r w:rsidRPr="00CE16DE">
        <w:rPr>
          <w:rFonts w:ascii="Times New Roman" w:eastAsia="仿宋" w:hAnsi="Times New Roman" w:hint="eastAsia"/>
          <w:bCs/>
          <w:color w:val="000000" w:themeColor="text1"/>
          <w:sz w:val="30"/>
          <w:szCs w:val="30"/>
        </w:rPr>
        <w:t>指标要求</w:t>
      </w:r>
      <w:r w:rsidRPr="00CE16DE">
        <w:rPr>
          <w:rFonts w:ascii="Times New Roman" w:eastAsia="仿宋" w:hAnsi="Times New Roman"/>
          <w:bCs/>
          <w:color w:val="000000" w:themeColor="text1"/>
          <w:sz w:val="30"/>
          <w:szCs w:val="30"/>
        </w:rPr>
        <w:t>如表</w:t>
      </w:r>
      <w:r w:rsidRPr="00CE16DE">
        <w:rPr>
          <w:rFonts w:ascii="Times New Roman" w:eastAsia="仿宋" w:hAnsi="Times New Roman" w:hint="eastAsia"/>
          <w:bCs/>
          <w:color w:val="000000" w:themeColor="text1"/>
          <w:sz w:val="30"/>
          <w:szCs w:val="30"/>
        </w:rPr>
        <w:t>8</w:t>
      </w:r>
      <w:r w:rsidRPr="00CE16DE">
        <w:rPr>
          <w:rFonts w:ascii="Times New Roman" w:eastAsia="仿宋" w:hAnsi="Times New Roman"/>
          <w:bCs/>
          <w:color w:val="000000" w:themeColor="text1"/>
          <w:sz w:val="30"/>
          <w:szCs w:val="30"/>
        </w:rPr>
        <w:t>。</w:t>
      </w:r>
      <w:r w:rsidRPr="00CE16DE">
        <w:rPr>
          <w:rFonts w:ascii="Times New Roman" w:eastAsia="仿宋" w:hAnsi="Times New Roman"/>
          <w:color w:val="000000" w:themeColor="text1"/>
          <w:sz w:val="30"/>
          <w:szCs w:val="30"/>
        </w:rPr>
        <w:t>2016</w:t>
      </w:r>
      <w:r w:rsidR="00B33332">
        <w:rPr>
          <w:rFonts w:ascii="Times New Roman" w:eastAsia="仿宋" w:hAnsi="Times New Roman"/>
          <w:color w:val="000000" w:themeColor="text1"/>
          <w:sz w:val="30"/>
          <w:szCs w:val="30"/>
        </w:rPr>
        <w:t>年</w:t>
      </w:r>
      <w:r w:rsidRPr="00CE16DE">
        <w:rPr>
          <w:rFonts w:ascii="Times New Roman" w:eastAsia="仿宋" w:hAnsi="Times New Roman" w:hint="eastAsia"/>
          <w:color w:val="000000" w:themeColor="text1"/>
          <w:sz w:val="30"/>
          <w:szCs w:val="30"/>
        </w:rPr>
        <w:t>纳入</w:t>
      </w:r>
      <w:r w:rsidR="00696491">
        <w:rPr>
          <w:rFonts w:ascii="Times New Roman" w:eastAsia="仿宋" w:hAnsi="Times New Roman" w:hint="eastAsia"/>
          <w:color w:val="000000" w:themeColor="text1"/>
          <w:sz w:val="30"/>
          <w:szCs w:val="30"/>
        </w:rPr>
        <w:t>能耗监测平台</w:t>
      </w:r>
      <w:r w:rsidRPr="00CE16DE">
        <w:rPr>
          <w:rFonts w:ascii="Times New Roman" w:eastAsia="仿宋" w:hAnsi="Times New Roman" w:hint="eastAsia"/>
          <w:color w:val="000000" w:themeColor="text1"/>
          <w:sz w:val="30"/>
          <w:szCs w:val="30"/>
        </w:rPr>
        <w:t>监测的</w:t>
      </w:r>
      <w:r w:rsidRPr="00CE16DE">
        <w:rPr>
          <w:rFonts w:ascii="Times New Roman" w:eastAsia="仿宋" w:hAnsi="Times New Roman"/>
          <w:color w:val="000000" w:themeColor="text1"/>
          <w:sz w:val="30"/>
          <w:szCs w:val="30"/>
        </w:rPr>
        <w:t>办公建筑单位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年耗</w:t>
      </w:r>
      <w:r w:rsidRPr="00CE16DE">
        <w:rPr>
          <w:rFonts w:ascii="Times New Roman" w:eastAsia="仿宋" w:hAnsi="Times New Roman" w:hint="eastAsia"/>
          <w:color w:val="000000" w:themeColor="text1"/>
          <w:sz w:val="30"/>
          <w:szCs w:val="30"/>
        </w:rPr>
        <w:t>电量</w:t>
      </w:r>
      <w:r w:rsidRPr="00CE16DE">
        <w:rPr>
          <w:rFonts w:ascii="Times New Roman" w:eastAsia="仿宋" w:hAnsi="Times New Roman"/>
          <w:color w:val="000000" w:themeColor="text1"/>
          <w:sz w:val="30"/>
          <w:szCs w:val="30"/>
        </w:rPr>
        <w:t>为</w:t>
      </w:r>
      <w:r w:rsidRPr="00CE16DE">
        <w:rPr>
          <w:rFonts w:ascii="Times New Roman" w:eastAsia="仿宋" w:hAnsi="Times New Roman"/>
          <w:color w:val="000000" w:themeColor="text1"/>
          <w:sz w:val="30"/>
          <w:szCs w:val="30"/>
        </w:rPr>
        <w:t>91.3 kWh/ (m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，折算成标准煤为</w:t>
      </w:r>
      <w:r w:rsidRPr="00CE16DE">
        <w:rPr>
          <w:rFonts w:ascii="Times New Roman" w:eastAsia="仿宋" w:hAnsi="Times New Roman"/>
          <w:color w:val="000000" w:themeColor="text1"/>
          <w:sz w:val="30"/>
          <w:szCs w:val="30"/>
        </w:rPr>
        <w:t>27.4 kgce/(m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，该值</w:t>
      </w:r>
      <w:r w:rsidRPr="00CE16DE">
        <w:rPr>
          <w:rFonts w:ascii="Times New Roman" w:eastAsia="仿宋" w:hAnsi="Times New Roman" w:hint="eastAsia"/>
          <w:color w:val="000000" w:themeColor="text1"/>
          <w:sz w:val="30"/>
          <w:szCs w:val="30"/>
        </w:rPr>
        <w:t>满足用能指标</w:t>
      </w:r>
      <w:r w:rsidRPr="00CE16DE">
        <w:rPr>
          <w:rFonts w:ascii="Times New Roman" w:eastAsia="仿宋" w:hAnsi="Times New Roman"/>
          <w:color w:val="000000" w:themeColor="text1"/>
          <w:sz w:val="30"/>
          <w:szCs w:val="30"/>
        </w:rPr>
        <w:t>合理值</w:t>
      </w:r>
      <w:r w:rsidRPr="00CE16DE">
        <w:rPr>
          <w:rFonts w:ascii="Times New Roman" w:eastAsia="仿宋" w:hAnsi="Times New Roman" w:hint="eastAsia"/>
          <w:color w:val="000000" w:themeColor="text1"/>
          <w:sz w:val="30"/>
          <w:szCs w:val="30"/>
        </w:rPr>
        <w:t>要求</w:t>
      </w:r>
      <w:r w:rsidRPr="00CE16DE">
        <w:rPr>
          <w:rFonts w:ascii="Times New Roman" w:eastAsia="仿宋" w:hAnsi="Times New Roman"/>
          <w:color w:val="000000" w:themeColor="text1"/>
          <w:sz w:val="30"/>
          <w:szCs w:val="30"/>
        </w:rPr>
        <w:t>。</w:t>
      </w:r>
    </w:p>
    <w:p w:rsidR="00CE16DE" w:rsidRPr="00CE16DE" w:rsidRDefault="00CE16DE" w:rsidP="00CE16DE">
      <w:pPr>
        <w:pStyle w:val="af9"/>
        <w:jc w:val="center"/>
        <w:rPr>
          <w:rFonts w:ascii="Times New Roman" w:eastAsia="仿宋" w:hAnsi="Times New Roman" w:cs="Times New Roman"/>
          <w:color w:val="000000" w:themeColor="text1"/>
          <w:sz w:val="24"/>
          <w:szCs w:val="24"/>
        </w:rPr>
      </w:pPr>
      <w:r w:rsidRPr="00CE16DE">
        <w:rPr>
          <w:rFonts w:ascii="Times New Roman" w:eastAsia="仿宋" w:hAnsi="Times New Roman" w:cs="Times New Roman"/>
          <w:color w:val="000000" w:themeColor="text1"/>
          <w:sz w:val="24"/>
          <w:szCs w:val="24"/>
        </w:rPr>
        <w:t>表</w:t>
      </w:r>
      <w:r w:rsidR="00FE4F21">
        <w:rPr>
          <w:rFonts w:ascii="Times New Roman" w:eastAsia="仿宋" w:hAnsi="Times New Roman" w:cs="Times New Roman"/>
          <w:color w:val="000000" w:themeColor="text1"/>
          <w:sz w:val="24"/>
          <w:szCs w:val="24"/>
        </w:rPr>
        <w:t>8</w:t>
      </w:r>
      <w:r w:rsidRPr="00CE16DE">
        <w:rPr>
          <w:rFonts w:ascii="Times New Roman" w:eastAsia="仿宋" w:hAnsi="Times New Roman" w:cs="Times New Roman"/>
          <w:color w:val="000000" w:themeColor="text1"/>
          <w:sz w:val="24"/>
          <w:szCs w:val="24"/>
        </w:rPr>
        <w:t>办公建筑功能区域合理用能指标要求</w:t>
      </w:r>
    </w:p>
    <w:tbl>
      <w:tblPr>
        <w:tblW w:w="477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4016"/>
        <w:gridCol w:w="2058"/>
        <w:gridCol w:w="2062"/>
      </w:tblGrid>
      <w:tr w:rsidR="00CE16DE" w:rsidRPr="00CE16DE" w:rsidTr="00BE0E37">
        <w:trPr>
          <w:trHeight w:val="784"/>
          <w:jc w:val="center"/>
        </w:trPr>
        <w:tc>
          <w:tcPr>
            <w:tcW w:w="2468" w:type="pct"/>
            <w:vMerge w:val="restart"/>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bCs/>
                <w:kern w:val="0"/>
                <w:sz w:val="24"/>
                <w:szCs w:val="24"/>
              </w:rPr>
              <w:t>按空调系统类型分类</w:t>
            </w:r>
          </w:p>
        </w:tc>
        <w:tc>
          <w:tcPr>
            <w:tcW w:w="2532" w:type="pct"/>
            <w:gridSpan w:val="2"/>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sz w:val="24"/>
                <w:szCs w:val="24"/>
              </w:rPr>
              <w:t>单位建筑综合能耗</w:t>
            </w:r>
          </w:p>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bCs/>
                <w:kern w:val="0"/>
                <w:sz w:val="24"/>
                <w:szCs w:val="24"/>
              </w:rPr>
              <w:t>kgce/(m</w:t>
            </w:r>
            <w:r w:rsidRPr="00CE16DE">
              <w:rPr>
                <w:rFonts w:ascii="Times New Roman" w:eastAsia="仿宋" w:hAnsi="Times New Roman"/>
                <w:bCs/>
                <w:kern w:val="0"/>
                <w:sz w:val="24"/>
                <w:szCs w:val="24"/>
                <w:vertAlign w:val="superscript"/>
              </w:rPr>
              <w:t>2</w:t>
            </w:r>
            <w:r w:rsidRPr="00CE16DE">
              <w:rPr>
                <w:rFonts w:ascii="Times New Roman" w:hAnsi="Times New Roman"/>
                <w:bCs/>
                <w:kern w:val="0"/>
                <w:sz w:val="24"/>
                <w:szCs w:val="24"/>
              </w:rPr>
              <w:t>•</w:t>
            </w:r>
            <w:r w:rsidRPr="00CE16DE">
              <w:rPr>
                <w:rFonts w:ascii="Times New Roman" w:eastAsia="仿宋" w:hAnsi="Times New Roman"/>
                <w:bCs/>
                <w:kern w:val="0"/>
                <w:sz w:val="24"/>
                <w:szCs w:val="24"/>
              </w:rPr>
              <w:t>a)</w:t>
            </w:r>
          </w:p>
        </w:tc>
      </w:tr>
      <w:tr w:rsidR="00CE16DE" w:rsidRPr="00CE16DE" w:rsidTr="00BE0E37">
        <w:trPr>
          <w:trHeight w:val="469"/>
          <w:jc w:val="center"/>
        </w:trPr>
        <w:tc>
          <w:tcPr>
            <w:tcW w:w="2468" w:type="pct"/>
            <w:vMerge/>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p>
        </w:tc>
        <w:tc>
          <w:tcPr>
            <w:tcW w:w="1265" w:type="pct"/>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sz w:val="24"/>
                <w:szCs w:val="24"/>
              </w:rPr>
              <w:t>合理值</w:t>
            </w:r>
          </w:p>
        </w:tc>
        <w:tc>
          <w:tcPr>
            <w:tcW w:w="1267" w:type="pct"/>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sz w:val="24"/>
                <w:szCs w:val="24"/>
              </w:rPr>
              <w:t>先进值</w:t>
            </w:r>
          </w:p>
        </w:tc>
      </w:tr>
      <w:tr w:rsidR="00CE16DE" w:rsidRPr="00CE16DE" w:rsidTr="00BE0E37">
        <w:trPr>
          <w:trHeight w:val="461"/>
          <w:jc w:val="center"/>
        </w:trPr>
        <w:tc>
          <w:tcPr>
            <w:tcW w:w="2468" w:type="pct"/>
            <w:shd w:val="clear" w:color="auto" w:fill="auto"/>
            <w:vAlign w:val="center"/>
          </w:tcPr>
          <w:p w:rsidR="00CE16DE" w:rsidRPr="00CE16DE" w:rsidRDefault="00CE16DE" w:rsidP="00CE16DE">
            <w:pPr>
              <w:widowControl/>
              <w:jc w:val="center"/>
              <w:rPr>
                <w:rFonts w:ascii="Times New Roman" w:eastAsia="仿宋" w:hAnsi="Times New Roman"/>
                <w:bCs/>
                <w:kern w:val="0"/>
                <w:sz w:val="24"/>
                <w:szCs w:val="24"/>
              </w:rPr>
            </w:pPr>
            <w:r w:rsidRPr="00CE16DE">
              <w:rPr>
                <w:rFonts w:ascii="Times New Roman" w:eastAsia="仿宋" w:hAnsi="Times New Roman"/>
                <w:bCs/>
                <w:kern w:val="0"/>
                <w:sz w:val="24"/>
                <w:szCs w:val="24"/>
              </w:rPr>
              <w:t>集中式空调系统建筑</w:t>
            </w:r>
          </w:p>
        </w:tc>
        <w:tc>
          <w:tcPr>
            <w:tcW w:w="1265" w:type="pct"/>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bCs/>
                <w:kern w:val="0"/>
                <w:sz w:val="24"/>
                <w:szCs w:val="24"/>
              </w:rPr>
              <w:t>≤ 47</w:t>
            </w:r>
          </w:p>
        </w:tc>
        <w:tc>
          <w:tcPr>
            <w:tcW w:w="1267" w:type="pct"/>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sz w:val="24"/>
                <w:szCs w:val="24"/>
              </w:rPr>
              <w:t>≤ 33</w:t>
            </w:r>
          </w:p>
        </w:tc>
      </w:tr>
      <w:tr w:rsidR="00CE16DE" w:rsidRPr="00CE16DE" w:rsidTr="00BE0E37">
        <w:trPr>
          <w:trHeight w:val="461"/>
          <w:jc w:val="center"/>
        </w:trPr>
        <w:tc>
          <w:tcPr>
            <w:tcW w:w="2468" w:type="pct"/>
            <w:shd w:val="clear" w:color="auto" w:fill="auto"/>
            <w:vAlign w:val="center"/>
          </w:tcPr>
          <w:p w:rsidR="00CE16DE" w:rsidRPr="00CE16DE" w:rsidRDefault="00CE16DE" w:rsidP="00CE16DE">
            <w:pPr>
              <w:widowControl/>
              <w:jc w:val="center"/>
              <w:rPr>
                <w:rFonts w:ascii="Times New Roman" w:eastAsia="仿宋" w:hAnsi="Times New Roman"/>
                <w:bCs/>
                <w:kern w:val="0"/>
                <w:sz w:val="24"/>
                <w:szCs w:val="24"/>
              </w:rPr>
            </w:pPr>
            <w:r w:rsidRPr="00CE16DE">
              <w:rPr>
                <w:rFonts w:ascii="Times New Roman" w:eastAsia="仿宋" w:hAnsi="Times New Roman"/>
                <w:bCs/>
                <w:kern w:val="0"/>
                <w:sz w:val="24"/>
                <w:szCs w:val="24"/>
              </w:rPr>
              <w:t>半集中式、分散式空调系统建筑</w:t>
            </w:r>
          </w:p>
        </w:tc>
        <w:tc>
          <w:tcPr>
            <w:tcW w:w="1265" w:type="pct"/>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bCs/>
                <w:kern w:val="0"/>
                <w:sz w:val="24"/>
                <w:szCs w:val="24"/>
              </w:rPr>
              <w:t>≤ 36</w:t>
            </w:r>
          </w:p>
        </w:tc>
        <w:tc>
          <w:tcPr>
            <w:tcW w:w="1267" w:type="pct"/>
            <w:shd w:val="clear" w:color="auto" w:fill="auto"/>
            <w:vAlign w:val="center"/>
          </w:tcPr>
          <w:p w:rsidR="00CE16DE" w:rsidRPr="00CE16DE" w:rsidRDefault="00CE16DE" w:rsidP="00CE16DE">
            <w:pPr>
              <w:autoSpaceDE w:val="0"/>
              <w:autoSpaceDN w:val="0"/>
              <w:adjustRightInd w:val="0"/>
              <w:jc w:val="center"/>
              <w:rPr>
                <w:rFonts w:ascii="Times New Roman" w:eastAsia="仿宋" w:hAnsi="Times New Roman"/>
                <w:sz w:val="24"/>
                <w:szCs w:val="24"/>
              </w:rPr>
            </w:pPr>
            <w:r w:rsidRPr="00CE16DE">
              <w:rPr>
                <w:rFonts w:ascii="Times New Roman" w:eastAsia="仿宋" w:hAnsi="Times New Roman"/>
                <w:sz w:val="24"/>
                <w:szCs w:val="24"/>
              </w:rPr>
              <w:t>≤ 25</w:t>
            </w:r>
          </w:p>
        </w:tc>
      </w:tr>
    </w:tbl>
    <w:p w:rsidR="00CE16DE" w:rsidRPr="00EB1F00" w:rsidRDefault="00CE16DE" w:rsidP="00DB66EC">
      <w:pPr>
        <w:pStyle w:val="3"/>
        <w:spacing w:beforeLines="50" w:after="0" w:line="415" w:lineRule="auto"/>
        <w:rPr>
          <w:rFonts w:ascii="黑体" w:eastAsia="黑体" w:hAnsi="黑体" w:cstheme="minorBidi"/>
          <w:bCs w:val="0"/>
          <w:sz w:val="30"/>
          <w:szCs w:val="30"/>
        </w:rPr>
      </w:pPr>
      <w:bookmarkStart w:id="32" w:name="_Toc446331542"/>
      <w:bookmarkStart w:id="33" w:name="_Toc479753018"/>
      <w:bookmarkEnd w:id="30"/>
      <w:bookmarkEnd w:id="31"/>
      <w:r w:rsidRPr="00EB1F00">
        <w:rPr>
          <w:rFonts w:ascii="黑体" w:eastAsia="黑体" w:hAnsi="黑体" w:cstheme="minorBidi"/>
          <w:bCs w:val="0"/>
          <w:sz w:val="30"/>
          <w:szCs w:val="30"/>
        </w:rPr>
        <w:t>2</w:t>
      </w:r>
      <w:r w:rsidRPr="00EB1F00">
        <w:rPr>
          <w:rFonts w:ascii="黑体" w:eastAsia="黑体" w:hAnsi="黑体" w:cstheme="minorBidi" w:hint="eastAsia"/>
          <w:bCs w:val="0"/>
          <w:sz w:val="30"/>
          <w:szCs w:val="30"/>
        </w:rPr>
        <w:t>、</w:t>
      </w:r>
      <w:r w:rsidRPr="00EB1F00">
        <w:rPr>
          <w:rFonts w:ascii="黑体" w:eastAsia="黑体" w:hAnsi="黑体" w:cstheme="minorBidi"/>
          <w:bCs w:val="0"/>
          <w:sz w:val="30"/>
          <w:szCs w:val="30"/>
        </w:rPr>
        <w:t>典型</w:t>
      </w:r>
      <w:r w:rsidR="003136CA">
        <w:rPr>
          <w:rFonts w:ascii="黑体" w:eastAsia="黑体" w:hAnsi="黑体" w:cstheme="minorBidi" w:hint="eastAsia"/>
          <w:bCs w:val="0"/>
          <w:sz w:val="30"/>
          <w:szCs w:val="30"/>
        </w:rPr>
        <w:t>案例</w:t>
      </w:r>
      <w:r w:rsidRPr="00EB1F00">
        <w:rPr>
          <w:rFonts w:ascii="黑体" w:eastAsia="黑体" w:hAnsi="黑体" w:cstheme="minorBidi"/>
          <w:bCs w:val="0"/>
          <w:sz w:val="30"/>
          <w:szCs w:val="30"/>
        </w:rPr>
        <w:t>建筑</w:t>
      </w:r>
      <w:r w:rsidRPr="00EB1F00">
        <w:rPr>
          <w:rFonts w:ascii="黑体" w:eastAsia="黑体" w:hAnsi="黑体" w:cstheme="minorBidi" w:hint="eastAsia"/>
          <w:bCs w:val="0"/>
          <w:sz w:val="30"/>
          <w:szCs w:val="30"/>
        </w:rPr>
        <w:t>能耗</w:t>
      </w:r>
      <w:r w:rsidRPr="00EB1F00">
        <w:rPr>
          <w:rFonts w:ascii="黑体" w:eastAsia="黑体" w:hAnsi="黑体" w:cstheme="minorBidi"/>
          <w:bCs w:val="0"/>
          <w:sz w:val="30"/>
          <w:szCs w:val="30"/>
        </w:rPr>
        <w:t>对标分析</w:t>
      </w:r>
      <w:bookmarkEnd w:id="32"/>
      <w:bookmarkEnd w:id="33"/>
    </w:p>
    <w:p w:rsidR="00CE16DE" w:rsidRPr="00CE16DE" w:rsidRDefault="00CE16DE" w:rsidP="00CE16DE">
      <w:pPr>
        <w:spacing w:line="360" w:lineRule="auto"/>
        <w:rPr>
          <w:rFonts w:ascii="Times New Roman" w:eastAsia="仿宋" w:hAnsi="Times New Roman"/>
          <w:color w:val="000000" w:themeColor="text1"/>
          <w:sz w:val="30"/>
          <w:szCs w:val="30"/>
        </w:rPr>
      </w:pPr>
      <w:r w:rsidRPr="00CE16D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1</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国家机关办公建筑</w:t>
      </w:r>
    </w:p>
    <w:p w:rsidR="00CE16DE" w:rsidRDefault="00CE16DE" w:rsidP="00DB66EC">
      <w:pPr>
        <w:spacing w:afterLines="50" w:line="360" w:lineRule="auto"/>
        <w:ind w:firstLineChars="200" w:firstLine="600"/>
        <w:rPr>
          <w:rFonts w:ascii="Times New Roman" w:eastAsia="仿宋" w:hAnsi="Times New Roman"/>
          <w:color w:val="000000" w:themeColor="text1"/>
          <w:sz w:val="30"/>
          <w:szCs w:val="30"/>
        </w:rPr>
      </w:pPr>
      <w:r w:rsidRPr="00CE16DE">
        <w:rPr>
          <w:rFonts w:ascii="Times New Roman" w:eastAsia="仿宋" w:hAnsi="Times New Roman"/>
          <w:color w:val="000000" w:themeColor="text1"/>
          <w:sz w:val="30"/>
          <w:szCs w:val="30"/>
        </w:rPr>
        <w:t>某国家机关办公建筑</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位于</w:t>
      </w:r>
      <w:r w:rsidRPr="00CE16DE">
        <w:rPr>
          <w:rFonts w:ascii="Times New Roman" w:eastAsia="仿宋" w:hAnsi="Times New Roman" w:hint="eastAsia"/>
          <w:color w:val="000000" w:themeColor="text1"/>
          <w:sz w:val="30"/>
          <w:szCs w:val="30"/>
        </w:rPr>
        <w:t>上海市奉贤</w:t>
      </w:r>
      <w:r w:rsidRPr="00CE16DE">
        <w:rPr>
          <w:rFonts w:ascii="Times New Roman" w:eastAsia="仿宋" w:hAnsi="Times New Roman"/>
          <w:color w:val="000000" w:themeColor="text1"/>
          <w:sz w:val="30"/>
          <w:szCs w:val="30"/>
        </w:rPr>
        <w:t>区，建筑面积</w:t>
      </w:r>
      <w:r w:rsidRPr="00CE16DE">
        <w:rPr>
          <w:rFonts w:ascii="Times New Roman" w:eastAsia="仿宋" w:hAnsi="Times New Roman"/>
          <w:color w:val="000000" w:themeColor="text1"/>
          <w:sz w:val="30"/>
          <w:szCs w:val="30"/>
        </w:rPr>
        <w:t>12648 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hint="eastAsia"/>
          <w:color w:val="000000" w:themeColor="text1"/>
          <w:sz w:val="30"/>
          <w:szCs w:val="30"/>
        </w:rPr>
        <w:t>，采用</w:t>
      </w:r>
      <w:r w:rsidRPr="00CE16DE">
        <w:rPr>
          <w:rFonts w:ascii="Times New Roman" w:eastAsia="仿宋" w:hAnsi="Times New Roman"/>
          <w:color w:val="000000" w:themeColor="text1"/>
          <w:sz w:val="30"/>
          <w:szCs w:val="30"/>
        </w:rPr>
        <w:t>集中</w:t>
      </w:r>
      <w:r w:rsidRPr="00CE16DE">
        <w:rPr>
          <w:rFonts w:ascii="Times New Roman" w:eastAsia="仿宋" w:hAnsi="Times New Roman" w:hint="eastAsia"/>
          <w:color w:val="000000" w:themeColor="text1"/>
          <w:sz w:val="30"/>
          <w:szCs w:val="30"/>
        </w:rPr>
        <w:t>式</w:t>
      </w:r>
      <w:r w:rsidRPr="00CE16DE">
        <w:rPr>
          <w:rFonts w:ascii="Times New Roman" w:eastAsia="仿宋" w:hAnsi="Times New Roman"/>
          <w:color w:val="000000" w:themeColor="text1"/>
          <w:sz w:val="30"/>
          <w:szCs w:val="30"/>
        </w:rPr>
        <w:t>空调</w:t>
      </w:r>
      <w:r w:rsidRPr="00CE16DE">
        <w:rPr>
          <w:rFonts w:ascii="Times New Roman" w:eastAsia="仿宋" w:hAnsi="Times New Roman" w:hint="eastAsia"/>
          <w:color w:val="000000" w:themeColor="text1"/>
          <w:sz w:val="30"/>
          <w:szCs w:val="30"/>
        </w:rPr>
        <w:t>系统</w:t>
      </w:r>
      <w:r w:rsidRPr="00CE16DE">
        <w:rPr>
          <w:rFonts w:ascii="Times New Roman" w:eastAsia="仿宋" w:hAnsi="Times New Roman"/>
          <w:color w:val="000000" w:themeColor="text1"/>
          <w:sz w:val="30"/>
          <w:szCs w:val="30"/>
        </w:rPr>
        <w:t>且为独立办公形式。</w:t>
      </w:r>
      <w:r w:rsidRPr="00CE16DE">
        <w:rPr>
          <w:rFonts w:ascii="Times New Roman" w:eastAsia="仿宋" w:hAnsi="Times New Roman"/>
          <w:color w:val="000000" w:themeColor="text1"/>
          <w:sz w:val="30"/>
          <w:szCs w:val="30"/>
        </w:rPr>
        <w:t>2016</w:t>
      </w:r>
      <w:r w:rsidRPr="00CE16DE">
        <w:rPr>
          <w:rFonts w:ascii="Times New Roman" w:eastAsia="仿宋" w:hAnsi="Times New Roman"/>
          <w:color w:val="000000" w:themeColor="text1"/>
          <w:sz w:val="30"/>
          <w:szCs w:val="30"/>
        </w:rPr>
        <w:t>年该建筑单位面积年耗电量为</w:t>
      </w:r>
      <w:r w:rsidRPr="00CE16DE">
        <w:rPr>
          <w:rFonts w:ascii="Times New Roman" w:eastAsia="仿宋" w:hAnsi="Times New Roman"/>
          <w:color w:val="000000" w:themeColor="text1"/>
          <w:sz w:val="30"/>
          <w:szCs w:val="30"/>
        </w:rPr>
        <w:t>58.1 kWh/ (m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折算成标准煤为</w:t>
      </w:r>
      <w:r w:rsidRPr="00CE16DE">
        <w:rPr>
          <w:rFonts w:ascii="Times New Roman" w:eastAsia="仿宋" w:hAnsi="Times New Roman"/>
          <w:color w:val="000000" w:themeColor="text1"/>
          <w:sz w:val="30"/>
          <w:szCs w:val="30"/>
        </w:rPr>
        <w:t>17.4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，经调研，该建筑</w:t>
      </w:r>
      <w:r w:rsidRPr="00CE16DE">
        <w:rPr>
          <w:rFonts w:ascii="Times New Roman" w:eastAsia="仿宋" w:hAnsi="Times New Roman" w:hint="eastAsia"/>
          <w:color w:val="000000" w:themeColor="text1"/>
          <w:sz w:val="30"/>
          <w:szCs w:val="30"/>
        </w:rPr>
        <w:t>没有使用</w:t>
      </w:r>
      <w:r w:rsidRPr="00CE16DE">
        <w:rPr>
          <w:rFonts w:ascii="Times New Roman" w:eastAsia="仿宋" w:hAnsi="Times New Roman"/>
          <w:color w:val="000000" w:themeColor="text1"/>
          <w:sz w:val="30"/>
          <w:szCs w:val="30"/>
        </w:rPr>
        <w:t>其</w:t>
      </w:r>
      <w:r w:rsidRPr="00CE16DE">
        <w:rPr>
          <w:rFonts w:ascii="Times New Roman" w:eastAsia="仿宋" w:hAnsi="Times New Roman" w:hint="eastAsia"/>
          <w:color w:val="000000" w:themeColor="text1"/>
          <w:sz w:val="30"/>
          <w:szCs w:val="30"/>
        </w:rPr>
        <w:t>他</w:t>
      </w:r>
      <w:r w:rsidRPr="00CE16DE">
        <w:rPr>
          <w:rFonts w:ascii="Times New Roman" w:eastAsia="仿宋" w:hAnsi="Times New Roman"/>
          <w:color w:val="000000" w:themeColor="text1"/>
          <w:sz w:val="30"/>
          <w:szCs w:val="30"/>
        </w:rPr>
        <w:t>能源。对照《机关办公建筑合理用能指南》，该建筑单位面积年综合用能量</w:t>
      </w:r>
      <w:r w:rsidRPr="00CE16DE">
        <w:rPr>
          <w:rFonts w:ascii="Times New Roman" w:eastAsia="仿宋" w:hAnsi="Times New Roman" w:hint="eastAsia"/>
          <w:color w:val="000000" w:themeColor="text1"/>
          <w:sz w:val="30"/>
          <w:szCs w:val="30"/>
        </w:rPr>
        <w:t>满足用能指标先进</w:t>
      </w:r>
      <w:r w:rsidRPr="00CE16DE">
        <w:rPr>
          <w:rFonts w:ascii="Times New Roman" w:eastAsia="仿宋" w:hAnsi="Times New Roman"/>
          <w:color w:val="000000" w:themeColor="text1"/>
          <w:sz w:val="30"/>
          <w:szCs w:val="30"/>
        </w:rPr>
        <w:t>值</w:t>
      </w:r>
      <w:r w:rsidRPr="00CE16DE">
        <w:rPr>
          <w:rFonts w:ascii="Times New Roman" w:eastAsia="仿宋" w:hAnsi="Times New Roman" w:hint="eastAsia"/>
          <w:color w:val="000000" w:themeColor="text1"/>
          <w:sz w:val="30"/>
          <w:szCs w:val="30"/>
        </w:rPr>
        <w:t>要求，如表</w:t>
      </w:r>
      <w:r w:rsidR="00FE4F21">
        <w:rPr>
          <w:rFonts w:ascii="Times New Roman" w:eastAsia="仿宋" w:hAnsi="Times New Roman"/>
          <w:color w:val="000000" w:themeColor="text1"/>
          <w:sz w:val="30"/>
          <w:szCs w:val="30"/>
        </w:rPr>
        <w:t>9</w:t>
      </w:r>
      <w:r w:rsidRPr="00CE16DE">
        <w:rPr>
          <w:rFonts w:ascii="Times New Roman" w:eastAsia="仿宋" w:hAnsi="Times New Roman" w:hint="eastAsia"/>
          <w:color w:val="000000" w:themeColor="text1"/>
          <w:sz w:val="30"/>
          <w:szCs w:val="30"/>
        </w:rPr>
        <w:t>所示</w:t>
      </w:r>
      <w:r w:rsidRPr="00CE16DE">
        <w:rPr>
          <w:rFonts w:ascii="Times New Roman" w:eastAsia="仿宋" w:hAnsi="Times New Roman"/>
          <w:color w:val="000000" w:themeColor="text1"/>
          <w:sz w:val="30"/>
          <w:szCs w:val="30"/>
        </w:rPr>
        <w:t>。</w:t>
      </w:r>
    </w:p>
    <w:p w:rsidR="007033D7" w:rsidRPr="00CE16DE" w:rsidRDefault="007033D7" w:rsidP="00DB66EC">
      <w:pPr>
        <w:spacing w:afterLines="50" w:line="360" w:lineRule="auto"/>
        <w:ind w:firstLineChars="200" w:firstLine="600"/>
        <w:rPr>
          <w:rFonts w:ascii="Times New Roman" w:eastAsia="仿宋" w:hAnsi="Times New Roman"/>
          <w:color w:val="000000" w:themeColor="text1"/>
          <w:sz w:val="30"/>
          <w:szCs w:val="30"/>
        </w:rPr>
      </w:pPr>
    </w:p>
    <w:p w:rsidR="00CE16DE" w:rsidRPr="00CE16DE" w:rsidRDefault="00CE16DE" w:rsidP="00CE16DE">
      <w:pPr>
        <w:pStyle w:val="af9"/>
        <w:jc w:val="center"/>
        <w:rPr>
          <w:rFonts w:ascii="Times New Roman" w:eastAsia="仿宋" w:hAnsi="Times New Roman" w:cs="Times New Roman"/>
          <w:color w:val="000000" w:themeColor="text1"/>
          <w:sz w:val="24"/>
          <w:szCs w:val="24"/>
        </w:rPr>
      </w:pPr>
      <w:r w:rsidRPr="00CE16DE">
        <w:rPr>
          <w:rFonts w:ascii="Times New Roman" w:eastAsia="仿宋" w:hAnsi="Times New Roman" w:cs="Times New Roman" w:hint="eastAsia"/>
          <w:color w:val="000000" w:themeColor="text1"/>
          <w:sz w:val="24"/>
          <w:szCs w:val="24"/>
        </w:rPr>
        <w:lastRenderedPageBreak/>
        <w:t>表</w:t>
      </w:r>
      <w:r w:rsidR="00FE4F21">
        <w:rPr>
          <w:rFonts w:ascii="Times New Roman" w:eastAsia="仿宋" w:hAnsi="Times New Roman" w:cs="Times New Roman"/>
          <w:color w:val="000000" w:themeColor="text1"/>
          <w:sz w:val="24"/>
          <w:szCs w:val="24"/>
        </w:rPr>
        <w:t>9</w:t>
      </w:r>
      <w:r w:rsidRPr="00CE16DE">
        <w:rPr>
          <w:rFonts w:ascii="Times New Roman" w:eastAsia="仿宋" w:hAnsi="Times New Roman" w:cs="Times New Roman" w:hint="eastAsia"/>
          <w:color w:val="000000" w:themeColor="text1"/>
          <w:sz w:val="24"/>
          <w:szCs w:val="24"/>
        </w:rPr>
        <w:t>国家机关办公建筑</w:t>
      </w:r>
      <w:r w:rsidRPr="00CE16DE">
        <w:rPr>
          <w:rFonts w:ascii="Times New Roman" w:eastAsia="仿宋" w:hAnsi="Times New Roman" w:cs="Times New Roman" w:hint="eastAsia"/>
          <w:color w:val="000000" w:themeColor="text1"/>
          <w:sz w:val="24"/>
          <w:szCs w:val="24"/>
        </w:rPr>
        <w:t>A</w:t>
      </w:r>
      <w:r w:rsidRPr="00CE16DE">
        <w:rPr>
          <w:rFonts w:ascii="Times New Roman" w:eastAsia="仿宋" w:hAnsi="Times New Roman" w:cs="Times New Roman" w:hint="eastAsia"/>
          <w:color w:val="000000" w:themeColor="text1"/>
          <w:sz w:val="24"/>
          <w:szCs w:val="24"/>
        </w:rPr>
        <w:t>能耗对标情况</w:t>
      </w:r>
    </w:p>
    <w:tbl>
      <w:tblPr>
        <w:tblW w:w="79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134"/>
        <w:gridCol w:w="2612"/>
        <w:gridCol w:w="2257"/>
        <w:gridCol w:w="1932"/>
      </w:tblGrid>
      <w:tr w:rsidR="00392C5B" w:rsidRPr="00CE16DE" w:rsidTr="00B30D92">
        <w:trPr>
          <w:trHeight w:val="519"/>
          <w:jc w:val="center"/>
        </w:trPr>
        <w:tc>
          <w:tcPr>
            <w:tcW w:w="1134"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年份</w:t>
            </w:r>
          </w:p>
        </w:tc>
        <w:tc>
          <w:tcPr>
            <w:tcW w:w="2612"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单位面积年综合能耗</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2257"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指南合理值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1932"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指南先进值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r>
      <w:tr w:rsidR="00392C5B" w:rsidRPr="00CE16DE" w:rsidTr="00B30D92">
        <w:trPr>
          <w:trHeight w:val="429"/>
          <w:jc w:val="center"/>
        </w:trPr>
        <w:tc>
          <w:tcPr>
            <w:tcW w:w="1134" w:type="dxa"/>
            <w:shd w:val="clear" w:color="auto" w:fill="auto"/>
            <w:vAlign w:val="center"/>
            <w:hideMark/>
          </w:tcPr>
          <w:p w:rsidR="00CE16DE" w:rsidRPr="00CE16DE" w:rsidRDefault="00CE16DE" w:rsidP="00CE16DE">
            <w:pPr>
              <w:widowControl/>
              <w:rPr>
                <w:rFonts w:ascii="Times New Roman" w:hAnsi="Times New Roman"/>
                <w:color w:val="000000"/>
                <w:kern w:val="0"/>
                <w:sz w:val="24"/>
                <w:szCs w:val="24"/>
              </w:rPr>
            </w:pPr>
            <w:r w:rsidRPr="00CE16DE">
              <w:rPr>
                <w:rFonts w:ascii="Times New Roman" w:hAnsi="Times New Roman"/>
                <w:color w:val="000000"/>
                <w:kern w:val="0"/>
                <w:sz w:val="24"/>
                <w:szCs w:val="24"/>
              </w:rPr>
              <w:t xml:space="preserve">　</w:t>
            </w:r>
            <w:r w:rsidRPr="00CE16DE">
              <w:rPr>
                <w:rFonts w:ascii="Times New Roman" w:hAnsi="Times New Roman" w:hint="eastAsia"/>
                <w:color w:val="000000"/>
                <w:kern w:val="0"/>
                <w:sz w:val="24"/>
                <w:szCs w:val="24"/>
              </w:rPr>
              <w:t>2016</w:t>
            </w:r>
          </w:p>
        </w:tc>
        <w:tc>
          <w:tcPr>
            <w:tcW w:w="2612"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color w:val="000000"/>
                <w:kern w:val="0"/>
                <w:sz w:val="24"/>
                <w:szCs w:val="24"/>
              </w:rPr>
              <w:t>17.4</w:t>
            </w:r>
          </w:p>
        </w:tc>
        <w:tc>
          <w:tcPr>
            <w:tcW w:w="2257"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30.</w:t>
            </w:r>
            <w:r w:rsidRPr="00CE16DE">
              <w:rPr>
                <w:rFonts w:ascii="Times New Roman" w:hAnsi="Times New Roman"/>
                <w:color w:val="000000"/>
                <w:kern w:val="0"/>
                <w:sz w:val="24"/>
                <w:szCs w:val="24"/>
              </w:rPr>
              <w:t>0</w:t>
            </w:r>
          </w:p>
        </w:tc>
        <w:tc>
          <w:tcPr>
            <w:tcW w:w="1932"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22.</w:t>
            </w:r>
            <w:r w:rsidRPr="00CE16DE">
              <w:rPr>
                <w:rFonts w:ascii="Times New Roman" w:hAnsi="Times New Roman"/>
                <w:color w:val="000000"/>
                <w:kern w:val="0"/>
                <w:sz w:val="24"/>
                <w:szCs w:val="24"/>
              </w:rPr>
              <w:t>0</w:t>
            </w:r>
          </w:p>
        </w:tc>
      </w:tr>
    </w:tbl>
    <w:p w:rsidR="00CE16DE" w:rsidRPr="00CE16DE" w:rsidRDefault="00CE16DE" w:rsidP="00DB66EC">
      <w:pPr>
        <w:widowControl/>
        <w:spacing w:beforeLines="50" w:line="360" w:lineRule="auto"/>
        <w:jc w:val="left"/>
        <w:rPr>
          <w:rFonts w:ascii="Times New Roman" w:eastAsia="仿宋" w:hAnsi="Times New Roman"/>
          <w:color w:val="000000" w:themeColor="text1"/>
          <w:sz w:val="30"/>
          <w:szCs w:val="30"/>
        </w:rPr>
      </w:pPr>
      <w:r w:rsidRPr="00CE16D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2</w:t>
      </w:r>
      <w:r w:rsidRPr="00CE16DE">
        <w:rPr>
          <w:rFonts w:ascii="Times New Roman" w:eastAsia="仿宋" w:hAnsi="Times New Roman" w:hint="eastAsia"/>
          <w:color w:val="000000" w:themeColor="text1"/>
          <w:sz w:val="30"/>
          <w:szCs w:val="30"/>
        </w:rPr>
        <w:t>）旅游</w:t>
      </w:r>
      <w:r w:rsidRPr="00CE16DE">
        <w:rPr>
          <w:rFonts w:ascii="Times New Roman" w:eastAsia="仿宋" w:hAnsi="Times New Roman"/>
          <w:color w:val="000000" w:themeColor="text1"/>
          <w:sz w:val="30"/>
          <w:szCs w:val="30"/>
        </w:rPr>
        <w:t>饭店建筑</w:t>
      </w:r>
    </w:p>
    <w:p w:rsidR="00CE16DE" w:rsidRPr="00CE16DE" w:rsidRDefault="00CE16DE" w:rsidP="00DB66EC">
      <w:pPr>
        <w:spacing w:afterLines="50" w:line="360" w:lineRule="auto"/>
        <w:ind w:firstLineChars="200" w:firstLine="600"/>
        <w:jc w:val="left"/>
        <w:rPr>
          <w:rFonts w:ascii="Times New Roman" w:eastAsia="仿宋" w:hAnsi="Times New Roman"/>
          <w:color w:val="000000" w:themeColor="text1"/>
          <w:sz w:val="30"/>
          <w:szCs w:val="30"/>
        </w:rPr>
      </w:pPr>
      <w:r w:rsidRPr="00CE16DE">
        <w:rPr>
          <w:rFonts w:ascii="Times New Roman" w:eastAsia="仿宋" w:hAnsi="Times New Roman"/>
          <w:color w:val="000000" w:themeColor="text1"/>
          <w:sz w:val="30"/>
          <w:szCs w:val="30"/>
        </w:rPr>
        <w:t>某五星级饭店</w:t>
      </w:r>
      <w:r w:rsidRPr="00CE16DE">
        <w:rPr>
          <w:rFonts w:ascii="仿宋" w:eastAsia="仿宋" w:hAnsi="仿宋" w:hint="eastAsia"/>
          <w:color w:val="000000" w:themeColor="text1"/>
          <w:sz w:val="30"/>
          <w:szCs w:val="30"/>
        </w:rPr>
        <w:t>B</w:t>
      </w:r>
      <w:r w:rsidRPr="00CE16DE">
        <w:rPr>
          <w:rFonts w:ascii="Times New Roman" w:eastAsia="仿宋" w:hAnsi="Times New Roman" w:hint="eastAsia"/>
          <w:color w:val="000000" w:themeColor="text1"/>
          <w:sz w:val="30"/>
          <w:szCs w:val="30"/>
        </w:rPr>
        <w:t>位于上海市徐汇区</w:t>
      </w:r>
      <w:r w:rsidRPr="00CE16DE">
        <w:rPr>
          <w:rFonts w:ascii="Times New Roman" w:eastAsia="仿宋" w:hAnsi="Times New Roman"/>
          <w:color w:val="000000" w:themeColor="text1"/>
          <w:sz w:val="30"/>
          <w:szCs w:val="30"/>
        </w:rPr>
        <w:t>，建筑面积</w:t>
      </w:r>
      <w:r w:rsidR="00730D36">
        <w:rPr>
          <w:rFonts w:ascii="Times New Roman" w:eastAsia="仿宋" w:hAnsi="Times New Roman"/>
          <w:color w:val="000000" w:themeColor="text1"/>
          <w:sz w:val="30"/>
          <w:szCs w:val="30"/>
        </w:rPr>
        <w:t>8</w:t>
      </w:r>
      <w:r w:rsidR="00730D36">
        <w:rPr>
          <w:rFonts w:ascii="Times New Roman" w:eastAsia="仿宋" w:hAnsi="Times New Roman" w:hint="eastAsia"/>
          <w:color w:val="000000" w:themeColor="text1"/>
          <w:sz w:val="30"/>
          <w:szCs w:val="30"/>
        </w:rPr>
        <w:t>2486</w:t>
      </w:r>
      <w:r w:rsidRPr="00CE16DE">
        <w:rPr>
          <w:rFonts w:ascii="Times New Roman" w:eastAsia="仿宋" w:hAnsi="Times New Roman"/>
          <w:color w:val="000000" w:themeColor="text1"/>
          <w:sz w:val="30"/>
          <w:szCs w:val="30"/>
        </w:rPr>
        <w:t xml:space="preserve"> 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，其中地下车库面积</w:t>
      </w:r>
      <w:r w:rsidR="00730D36">
        <w:rPr>
          <w:rFonts w:ascii="Times New Roman" w:eastAsia="仿宋" w:hAnsi="Times New Roman" w:hint="eastAsia"/>
          <w:color w:val="000000" w:themeColor="text1"/>
          <w:sz w:val="30"/>
          <w:szCs w:val="30"/>
        </w:rPr>
        <w:t>7828.5</w:t>
      </w:r>
      <w:r w:rsidRPr="00CE16DE">
        <w:rPr>
          <w:rFonts w:ascii="Times New Roman" w:eastAsia="仿宋" w:hAnsi="Times New Roman"/>
          <w:color w:val="000000" w:themeColor="text1"/>
          <w:sz w:val="30"/>
          <w:szCs w:val="30"/>
        </w:rPr>
        <w:t>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w:t>
      </w:r>
      <w:r w:rsidRPr="00CE16DE">
        <w:rPr>
          <w:rFonts w:ascii="Times New Roman" w:eastAsia="仿宋" w:hAnsi="Times New Roman" w:hint="eastAsia"/>
          <w:color w:val="000000" w:themeColor="text1"/>
          <w:sz w:val="30"/>
          <w:szCs w:val="30"/>
        </w:rPr>
        <w:t>201</w:t>
      </w:r>
      <w:r w:rsidRPr="00CE16DE">
        <w:rPr>
          <w:rFonts w:ascii="Times New Roman" w:eastAsia="仿宋" w:hAnsi="Times New Roman"/>
          <w:color w:val="000000" w:themeColor="text1"/>
          <w:sz w:val="30"/>
          <w:szCs w:val="30"/>
        </w:rPr>
        <w:t>6</w:t>
      </w:r>
      <w:r w:rsidRPr="00CE16DE">
        <w:rPr>
          <w:rFonts w:ascii="Times New Roman" w:eastAsia="仿宋" w:hAnsi="Times New Roman" w:hint="eastAsia"/>
          <w:color w:val="000000" w:themeColor="text1"/>
          <w:sz w:val="30"/>
          <w:szCs w:val="30"/>
        </w:rPr>
        <w:t>年该</w:t>
      </w:r>
      <w:r w:rsidRPr="00CE16DE">
        <w:rPr>
          <w:rFonts w:ascii="Times New Roman" w:eastAsia="仿宋" w:hAnsi="Times New Roman"/>
          <w:color w:val="000000" w:themeColor="text1"/>
          <w:sz w:val="30"/>
          <w:szCs w:val="30"/>
        </w:rPr>
        <w:t>建筑单位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年耗</w:t>
      </w:r>
      <w:r w:rsidRPr="00CE16DE">
        <w:rPr>
          <w:rFonts w:ascii="Times New Roman" w:eastAsia="仿宋" w:hAnsi="Times New Roman" w:hint="eastAsia"/>
          <w:color w:val="000000" w:themeColor="text1"/>
          <w:sz w:val="30"/>
          <w:szCs w:val="30"/>
        </w:rPr>
        <w:t>电量为</w:t>
      </w:r>
      <w:r w:rsidR="00730D36">
        <w:rPr>
          <w:rFonts w:ascii="Times New Roman" w:eastAsia="仿宋" w:hAnsi="Times New Roman" w:hint="eastAsia"/>
          <w:color w:val="000000" w:themeColor="text1"/>
          <w:sz w:val="30"/>
          <w:szCs w:val="30"/>
        </w:rPr>
        <w:t>97</w:t>
      </w:r>
      <w:r w:rsidRPr="00CE16DE">
        <w:rPr>
          <w:rFonts w:ascii="Times New Roman" w:eastAsia="仿宋" w:hAnsi="Times New Roman" w:hint="eastAsia"/>
          <w:color w:val="000000" w:themeColor="text1"/>
          <w:sz w:val="30"/>
          <w:szCs w:val="30"/>
        </w:rPr>
        <w:t>.</w:t>
      </w:r>
      <w:r w:rsidR="00730D36">
        <w:rPr>
          <w:rFonts w:ascii="Times New Roman" w:eastAsia="仿宋" w:hAnsi="Times New Roman" w:hint="eastAsia"/>
          <w:color w:val="000000" w:themeColor="text1"/>
          <w:sz w:val="30"/>
          <w:szCs w:val="30"/>
        </w:rPr>
        <w:t>5</w:t>
      </w:r>
      <w:r w:rsidRPr="00CE16DE">
        <w:rPr>
          <w:rFonts w:ascii="Times New Roman" w:eastAsia="仿宋" w:hAnsi="Times New Roman"/>
          <w:color w:val="000000" w:themeColor="text1"/>
          <w:sz w:val="30"/>
          <w:szCs w:val="30"/>
        </w:rPr>
        <w:t xml:space="preserve"> kWh/ (m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折算成标准煤为</w:t>
      </w:r>
      <w:r w:rsidR="00730D36">
        <w:rPr>
          <w:rFonts w:ascii="Times New Roman" w:eastAsia="仿宋" w:hAnsi="Times New Roman" w:hint="eastAsia"/>
          <w:color w:val="000000" w:themeColor="text1"/>
          <w:sz w:val="30"/>
          <w:szCs w:val="30"/>
        </w:rPr>
        <w:t>29</w:t>
      </w:r>
      <w:r w:rsidRPr="00CE16DE">
        <w:rPr>
          <w:rFonts w:ascii="Times New Roman" w:eastAsia="仿宋" w:hAnsi="Times New Roman"/>
          <w:color w:val="000000" w:themeColor="text1"/>
          <w:sz w:val="30"/>
          <w:szCs w:val="30"/>
        </w:rPr>
        <w:t>.3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w:t>
      </w:r>
      <w:r w:rsidRPr="00CE16DE">
        <w:rPr>
          <w:rFonts w:ascii="Times New Roman" w:eastAsia="仿宋" w:hAnsi="Times New Roman" w:hint="eastAsia"/>
          <w:color w:val="000000" w:themeColor="text1"/>
          <w:sz w:val="30"/>
          <w:szCs w:val="30"/>
        </w:rPr>
        <w:t>根据调研，</w:t>
      </w:r>
      <w:r w:rsidRPr="00CE16DE">
        <w:rPr>
          <w:rFonts w:ascii="Times New Roman" w:eastAsia="仿宋" w:hAnsi="Times New Roman"/>
          <w:color w:val="000000" w:themeColor="text1"/>
          <w:sz w:val="30"/>
          <w:szCs w:val="30"/>
        </w:rPr>
        <w:t>该建筑</w:t>
      </w:r>
      <w:r w:rsidRPr="00CE16DE">
        <w:rPr>
          <w:rFonts w:ascii="Times New Roman" w:eastAsia="仿宋" w:hAnsi="Times New Roman"/>
          <w:color w:val="000000" w:themeColor="text1"/>
          <w:sz w:val="30"/>
          <w:szCs w:val="30"/>
        </w:rPr>
        <w:t>2016</w:t>
      </w:r>
      <w:r w:rsidRPr="00CE16DE">
        <w:rPr>
          <w:rFonts w:ascii="Times New Roman" w:eastAsia="仿宋" w:hAnsi="Times New Roman"/>
          <w:color w:val="000000" w:themeColor="text1"/>
          <w:sz w:val="30"/>
          <w:szCs w:val="30"/>
        </w:rPr>
        <w:t>年天然气使用量为</w:t>
      </w:r>
      <w:r w:rsidR="00730D36">
        <w:rPr>
          <w:rFonts w:ascii="Times New Roman" w:eastAsia="仿宋" w:hAnsi="Times New Roman" w:hint="eastAsia"/>
          <w:color w:val="000000" w:themeColor="text1"/>
          <w:sz w:val="30"/>
          <w:szCs w:val="30"/>
        </w:rPr>
        <w:t>986222</w:t>
      </w:r>
      <w:r w:rsidRPr="00CE16DE">
        <w:rPr>
          <w:rFonts w:ascii="Times New Roman" w:eastAsia="仿宋" w:hAnsi="Times New Roman"/>
          <w:color w:val="000000" w:themeColor="text1"/>
          <w:sz w:val="30"/>
          <w:szCs w:val="30"/>
        </w:rPr>
        <w:t xml:space="preserve"> m</w:t>
      </w:r>
      <w:r w:rsidRPr="00CE16DE">
        <w:rPr>
          <w:rFonts w:ascii="Times New Roman" w:eastAsia="仿宋" w:hAnsi="Times New Roman"/>
          <w:color w:val="000000" w:themeColor="text1"/>
          <w:sz w:val="30"/>
          <w:szCs w:val="30"/>
          <w:vertAlign w:val="superscript"/>
        </w:rPr>
        <w:t>3</w:t>
      </w:r>
      <w:r w:rsidRPr="00CE16DE">
        <w:rPr>
          <w:rFonts w:ascii="Times New Roman" w:eastAsia="仿宋" w:hAnsi="Times New Roman"/>
          <w:color w:val="000000" w:themeColor="text1"/>
          <w:sz w:val="30"/>
          <w:szCs w:val="30"/>
        </w:rPr>
        <w:t>，折算成标准煤为</w:t>
      </w:r>
      <w:r w:rsidR="00730D36">
        <w:rPr>
          <w:rFonts w:ascii="Times New Roman" w:eastAsia="仿宋" w:hAnsi="Times New Roman"/>
          <w:color w:val="000000" w:themeColor="text1"/>
          <w:sz w:val="30"/>
          <w:szCs w:val="30"/>
        </w:rPr>
        <w:t>1</w:t>
      </w:r>
      <w:r w:rsidR="00730D36">
        <w:rPr>
          <w:rFonts w:ascii="Times New Roman" w:eastAsia="仿宋" w:hAnsi="Times New Roman" w:hint="eastAsia"/>
          <w:color w:val="000000" w:themeColor="text1"/>
          <w:sz w:val="30"/>
          <w:szCs w:val="30"/>
        </w:rPr>
        <w:t>5</w:t>
      </w:r>
      <w:r w:rsidR="00730D36">
        <w:rPr>
          <w:rFonts w:ascii="Times New Roman" w:eastAsia="仿宋" w:hAnsi="Times New Roman"/>
          <w:color w:val="000000" w:themeColor="text1"/>
          <w:sz w:val="30"/>
          <w:szCs w:val="30"/>
        </w:rPr>
        <w:t>.</w:t>
      </w:r>
      <w:r w:rsidR="00730D36">
        <w:rPr>
          <w:rFonts w:ascii="Times New Roman" w:eastAsia="仿宋" w:hAnsi="Times New Roman" w:hint="eastAsia"/>
          <w:color w:val="000000" w:themeColor="text1"/>
          <w:sz w:val="30"/>
          <w:szCs w:val="30"/>
        </w:rPr>
        <w:t>5</w:t>
      </w:r>
      <w:r w:rsidRPr="00CE16DE">
        <w:rPr>
          <w:rFonts w:ascii="Times New Roman" w:eastAsia="仿宋" w:hAnsi="Times New Roman"/>
          <w:color w:val="000000" w:themeColor="text1"/>
          <w:sz w:val="30"/>
          <w:szCs w:val="30"/>
        </w:rPr>
        <w:t xml:space="preserve">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。因此该建筑单位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年综合能耗为</w:t>
      </w:r>
      <w:r w:rsidR="00730D36">
        <w:rPr>
          <w:rFonts w:ascii="Times New Roman" w:eastAsia="仿宋" w:hAnsi="Times New Roman" w:hint="eastAsia"/>
          <w:color w:val="000000" w:themeColor="text1"/>
          <w:sz w:val="30"/>
          <w:szCs w:val="30"/>
        </w:rPr>
        <w:t>44</w:t>
      </w:r>
      <w:r w:rsidR="00730D36">
        <w:rPr>
          <w:rFonts w:ascii="Times New Roman" w:eastAsia="仿宋" w:hAnsi="Times New Roman"/>
          <w:color w:val="000000" w:themeColor="text1"/>
          <w:sz w:val="30"/>
          <w:szCs w:val="30"/>
        </w:rPr>
        <w:t>.</w:t>
      </w:r>
      <w:r w:rsidR="00730D36">
        <w:rPr>
          <w:rFonts w:ascii="Times New Roman" w:eastAsia="仿宋" w:hAnsi="Times New Roman" w:hint="eastAsia"/>
          <w:color w:val="000000" w:themeColor="text1"/>
          <w:sz w:val="30"/>
          <w:szCs w:val="30"/>
        </w:rPr>
        <w:t>8</w:t>
      </w:r>
      <w:r w:rsidRPr="00CE16DE">
        <w:rPr>
          <w:rFonts w:ascii="Times New Roman" w:eastAsia="仿宋" w:hAnsi="Times New Roman"/>
          <w:color w:val="000000" w:themeColor="text1"/>
          <w:sz w:val="30"/>
          <w:szCs w:val="30"/>
        </w:rPr>
        <w:t xml:space="preserve">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，根据</w:t>
      </w:r>
      <w:r w:rsidR="008B3E2E">
        <w:rPr>
          <w:rFonts w:ascii="Times New Roman" w:eastAsia="仿宋" w:hAnsi="Times New Roman" w:hint="eastAsia"/>
          <w:color w:val="000000" w:themeColor="text1"/>
          <w:sz w:val="30"/>
          <w:szCs w:val="30"/>
        </w:rPr>
        <w:t>该</w:t>
      </w:r>
      <w:r w:rsidR="008B3E2E">
        <w:rPr>
          <w:rFonts w:ascii="Times New Roman" w:eastAsia="仿宋" w:hAnsi="Times New Roman"/>
          <w:color w:val="000000" w:themeColor="text1"/>
          <w:sz w:val="30"/>
          <w:szCs w:val="30"/>
        </w:rPr>
        <w:t>饭店</w:t>
      </w:r>
      <w:r w:rsidRPr="00CE16DE">
        <w:rPr>
          <w:rFonts w:ascii="Times New Roman" w:eastAsia="仿宋" w:hAnsi="Times New Roman"/>
          <w:color w:val="000000" w:themeColor="text1"/>
          <w:sz w:val="30"/>
          <w:szCs w:val="30"/>
        </w:rPr>
        <w:t>具体情况，</w:t>
      </w:r>
      <w:r w:rsidR="005C04D7">
        <w:rPr>
          <w:rFonts w:ascii="Times New Roman" w:eastAsia="仿宋" w:hAnsi="Times New Roman" w:hint="eastAsia"/>
          <w:color w:val="000000" w:themeColor="text1"/>
          <w:sz w:val="30"/>
          <w:szCs w:val="30"/>
        </w:rPr>
        <w:t>经</w:t>
      </w:r>
      <w:r w:rsidRPr="00CE16DE">
        <w:rPr>
          <w:rFonts w:ascii="Times New Roman" w:eastAsia="仿宋" w:hAnsi="Times New Roman" w:hint="eastAsia"/>
          <w:color w:val="000000" w:themeColor="text1"/>
          <w:sz w:val="30"/>
          <w:szCs w:val="30"/>
        </w:rPr>
        <w:t>各影响因素修正后</w:t>
      </w:r>
      <w:r w:rsidR="005C04D7">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该建筑的可比单位综合能耗为</w:t>
      </w:r>
      <w:r w:rsidR="00730D36">
        <w:rPr>
          <w:rFonts w:ascii="Times New Roman" w:eastAsia="仿宋" w:hAnsi="Times New Roman" w:hint="eastAsia"/>
          <w:color w:val="000000" w:themeColor="text1"/>
          <w:sz w:val="30"/>
          <w:szCs w:val="30"/>
        </w:rPr>
        <w:t>4</w:t>
      </w:r>
      <w:r w:rsidR="00730D36">
        <w:rPr>
          <w:rFonts w:ascii="Times New Roman" w:eastAsia="仿宋" w:hAnsi="Times New Roman"/>
          <w:color w:val="000000" w:themeColor="text1"/>
          <w:sz w:val="30"/>
          <w:szCs w:val="30"/>
        </w:rPr>
        <w:t>6.</w:t>
      </w:r>
      <w:r w:rsidR="00730D36">
        <w:rPr>
          <w:rFonts w:ascii="Times New Roman" w:eastAsia="仿宋" w:hAnsi="Times New Roman" w:hint="eastAsia"/>
          <w:color w:val="000000" w:themeColor="text1"/>
          <w:sz w:val="30"/>
          <w:szCs w:val="30"/>
        </w:rPr>
        <w:t>8</w:t>
      </w:r>
      <w:r w:rsidRPr="00CE16DE">
        <w:rPr>
          <w:rFonts w:ascii="Times New Roman" w:eastAsia="仿宋" w:hAnsi="Times New Roman"/>
          <w:color w:val="000000" w:themeColor="text1"/>
          <w:sz w:val="30"/>
          <w:szCs w:val="30"/>
        </w:rPr>
        <w:t xml:space="preserve">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w:t>
      </w:r>
      <w:r w:rsidRPr="00CE16DE">
        <w:rPr>
          <w:rFonts w:ascii="Times New Roman" w:eastAsia="仿宋" w:hAnsi="Times New Roman" w:hint="eastAsia"/>
          <w:color w:val="000000" w:themeColor="text1"/>
          <w:sz w:val="30"/>
          <w:szCs w:val="30"/>
        </w:rPr>
        <w:t>对照</w:t>
      </w:r>
      <w:r w:rsidRPr="00CE16DE">
        <w:rPr>
          <w:rFonts w:ascii="Times New Roman" w:eastAsia="仿宋" w:hAnsi="Times New Roman"/>
          <w:color w:val="000000" w:themeColor="text1"/>
          <w:sz w:val="30"/>
          <w:szCs w:val="30"/>
        </w:rPr>
        <w:t>《星级饭店建筑合理用能指南》</w:t>
      </w:r>
      <w:r w:rsidRPr="00CE16DE">
        <w:rPr>
          <w:rFonts w:ascii="Times New Roman" w:eastAsia="仿宋" w:hAnsi="Times New Roman" w:hint="eastAsia"/>
          <w:color w:val="000000" w:themeColor="text1"/>
          <w:sz w:val="30"/>
          <w:szCs w:val="30"/>
        </w:rPr>
        <w:t>，该建筑</w:t>
      </w:r>
      <w:r w:rsidRPr="00CE16DE">
        <w:rPr>
          <w:rFonts w:ascii="Times New Roman" w:eastAsia="仿宋" w:hAnsi="Times New Roman"/>
          <w:color w:val="000000" w:themeColor="text1"/>
          <w:sz w:val="30"/>
          <w:szCs w:val="30"/>
        </w:rPr>
        <w:t>单位面积年综合</w:t>
      </w:r>
      <w:r w:rsidRPr="00CE16DE">
        <w:rPr>
          <w:rFonts w:ascii="Times New Roman" w:eastAsia="仿宋" w:hAnsi="Times New Roman" w:hint="eastAsia"/>
          <w:color w:val="000000" w:themeColor="text1"/>
          <w:sz w:val="30"/>
          <w:szCs w:val="30"/>
        </w:rPr>
        <w:t>用能量满足用能指标</w:t>
      </w:r>
      <w:r w:rsidRPr="00CE16DE">
        <w:rPr>
          <w:rFonts w:ascii="Times New Roman" w:eastAsia="仿宋" w:hAnsi="Times New Roman"/>
          <w:color w:val="000000" w:themeColor="text1"/>
          <w:sz w:val="30"/>
          <w:szCs w:val="30"/>
        </w:rPr>
        <w:t>先进值</w:t>
      </w:r>
      <w:r w:rsidRPr="00CE16DE">
        <w:rPr>
          <w:rFonts w:ascii="Times New Roman" w:eastAsia="仿宋" w:hAnsi="Times New Roman" w:hint="eastAsia"/>
          <w:color w:val="000000" w:themeColor="text1"/>
          <w:sz w:val="30"/>
          <w:szCs w:val="30"/>
        </w:rPr>
        <w:t>要求，如表</w:t>
      </w:r>
      <w:r w:rsidRPr="00CE16DE">
        <w:rPr>
          <w:rFonts w:ascii="Times New Roman" w:eastAsia="仿宋" w:hAnsi="Times New Roman" w:hint="eastAsia"/>
          <w:color w:val="000000" w:themeColor="text1"/>
          <w:sz w:val="30"/>
          <w:szCs w:val="30"/>
        </w:rPr>
        <w:t>1</w:t>
      </w:r>
      <w:r w:rsidR="00E96944">
        <w:rPr>
          <w:rFonts w:ascii="Times New Roman" w:eastAsia="仿宋" w:hAnsi="Times New Roman"/>
          <w:color w:val="000000" w:themeColor="text1"/>
          <w:sz w:val="30"/>
          <w:szCs w:val="30"/>
        </w:rPr>
        <w:t>0</w:t>
      </w:r>
      <w:r w:rsidRPr="00CE16DE">
        <w:rPr>
          <w:rFonts w:ascii="Times New Roman" w:eastAsia="仿宋" w:hAnsi="Times New Roman" w:hint="eastAsia"/>
          <w:color w:val="000000" w:themeColor="text1"/>
          <w:sz w:val="30"/>
          <w:szCs w:val="30"/>
        </w:rPr>
        <w:t>所示</w:t>
      </w:r>
      <w:r w:rsidRPr="00CE16DE">
        <w:rPr>
          <w:rFonts w:ascii="Times New Roman" w:eastAsia="仿宋" w:hAnsi="Times New Roman"/>
          <w:color w:val="000000" w:themeColor="text1"/>
          <w:sz w:val="30"/>
          <w:szCs w:val="30"/>
        </w:rPr>
        <w:t>。</w:t>
      </w:r>
    </w:p>
    <w:p w:rsidR="00CE16DE" w:rsidRPr="00CE16DE" w:rsidRDefault="00CE16DE" w:rsidP="00CE16DE">
      <w:pPr>
        <w:pStyle w:val="af9"/>
        <w:jc w:val="center"/>
        <w:rPr>
          <w:rFonts w:ascii="Times New Roman" w:eastAsia="仿宋" w:hAnsi="Times New Roman" w:cs="Times New Roman"/>
          <w:color w:val="000000" w:themeColor="text1"/>
          <w:sz w:val="24"/>
          <w:szCs w:val="24"/>
        </w:rPr>
      </w:pPr>
      <w:r w:rsidRPr="00CE16DE">
        <w:rPr>
          <w:rFonts w:ascii="Times New Roman" w:eastAsia="仿宋" w:hAnsi="Times New Roman" w:cs="Times New Roman" w:hint="eastAsia"/>
          <w:color w:val="000000" w:themeColor="text1"/>
          <w:sz w:val="24"/>
          <w:szCs w:val="24"/>
        </w:rPr>
        <w:t>表</w:t>
      </w:r>
      <w:r w:rsidR="00E96944">
        <w:rPr>
          <w:rFonts w:ascii="Times New Roman" w:eastAsia="仿宋" w:hAnsi="Times New Roman" w:cs="Times New Roman"/>
          <w:color w:val="000000" w:themeColor="text1"/>
          <w:sz w:val="24"/>
          <w:szCs w:val="24"/>
        </w:rPr>
        <w:t>10</w:t>
      </w:r>
      <w:r w:rsidRPr="00CE16DE">
        <w:rPr>
          <w:rFonts w:ascii="Times New Roman" w:eastAsia="仿宋" w:hAnsi="Times New Roman" w:cs="Times New Roman" w:hint="eastAsia"/>
          <w:color w:val="000000" w:themeColor="text1"/>
          <w:sz w:val="24"/>
          <w:szCs w:val="24"/>
        </w:rPr>
        <w:t>旅游饭店建筑</w:t>
      </w:r>
      <w:r w:rsidRPr="00CE16DE">
        <w:rPr>
          <w:rFonts w:ascii="Times New Roman" w:eastAsia="仿宋" w:hAnsi="Times New Roman" w:cs="Times New Roman" w:hint="eastAsia"/>
          <w:color w:val="000000" w:themeColor="text1"/>
          <w:sz w:val="24"/>
          <w:szCs w:val="24"/>
        </w:rPr>
        <w:t>B</w:t>
      </w:r>
      <w:r w:rsidRPr="00CE16DE">
        <w:rPr>
          <w:rFonts w:ascii="Times New Roman" w:eastAsia="仿宋" w:hAnsi="Times New Roman" w:cs="Times New Roman" w:hint="eastAsia"/>
          <w:color w:val="000000" w:themeColor="text1"/>
          <w:sz w:val="24"/>
          <w:szCs w:val="24"/>
        </w:rPr>
        <w:t>能耗对标情况</w:t>
      </w:r>
    </w:p>
    <w:tbl>
      <w:tblPr>
        <w:tblW w:w="4799"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895"/>
        <w:gridCol w:w="3181"/>
        <w:gridCol w:w="2171"/>
        <w:gridCol w:w="1938"/>
      </w:tblGrid>
      <w:tr w:rsidR="00392C5B" w:rsidRPr="00CE16DE" w:rsidTr="00BE0E37">
        <w:trPr>
          <w:trHeight w:val="519"/>
          <w:jc w:val="center"/>
        </w:trPr>
        <w:tc>
          <w:tcPr>
            <w:tcW w:w="547" w:type="pct"/>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年份</w:t>
            </w:r>
          </w:p>
        </w:tc>
        <w:tc>
          <w:tcPr>
            <w:tcW w:w="1943" w:type="pct"/>
            <w:vAlign w:val="center"/>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可比单位面积年综合能耗</w:t>
            </w: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1326" w:type="pct"/>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指南合理值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1184" w:type="pct"/>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指南先进值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r>
      <w:tr w:rsidR="00392C5B" w:rsidRPr="00CE16DE" w:rsidTr="00BE0E37">
        <w:trPr>
          <w:trHeight w:val="429"/>
          <w:jc w:val="center"/>
        </w:trPr>
        <w:tc>
          <w:tcPr>
            <w:tcW w:w="547" w:type="pct"/>
            <w:shd w:val="clear" w:color="auto" w:fill="auto"/>
            <w:vAlign w:val="center"/>
            <w:hideMark/>
          </w:tcPr>
          <w:p w:rsidR="00CE16DE" w:rsidRPr="00CE16DE" w:rsidRDefault="001C77BD" w:rsidP="00CE16DE">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2016</w:t>
            </w:r>
          </w:p>
        </w:tc>
        <w:tc>
          <w:tcPr>
            <w:tcW w:w="1943" w:type="pct"/>
            <w:vAlign w:val="center"/>
          </w:tcPr>
          <w:p w:rsidR="00CE16DE" w:rsidRPr="00CE16DE" w:rsidRDefault="00087749" w:rsidP="00CE16DE">
            <w:pPr>
              <w:widowControl/>
              <w:jc w:val="center"/>
              <w:rPr>
                <w:rFonts w:ascii="Times New Roman" w:hAnsi="Times New Roman"/>
                <w:color w:val="000000"/>
                <w:kern w:val="0"/>
                <w:sz w:val="24"/>
                <w:szCs w:val="24"/>
              </w:rPr>
            </w:pPr>
            <w:r>
              <w:rPr>
                <w:rFonts w:ascii="Times New Roman" w:hAnsi="Times New Roman"/>
                <w:color w:val="000000"/>
                <w:kern w:val="0"/>
                <w:sz w:val="24"/>
                <w:szCs w:val="24"/>
              </w:rPr>
              <w:t>46.8</w:t>
            </w:r>
          </w:p>
        </w:tc>
        <w:tc>
          <w:tcPr>
            <w:tcW w:w="1326" w:type="pct"/>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77.</w:t>
            </w:r>
            <w:r w:rsidRPr="00CE16DE">
              <w:rPr>
                <w:rFonts w:ascii="Times New Roman" w:hAnsi="Times New Roman"/>
                <w:color w:val="000000"/>
                <w:kern w:val="0"/>
                <w:sz w:val="24"/>
                <w:szCs w:val="24"/>
              </w:rPr>
              <w:t>0</w:t>
            </w:r>
          </w:p>
        </w:tc>
        <w:tc>
          <w:tcPr>
            <w:tcW w:w="1184" w:type="pct"/>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55.</w:t>
            </w:r>
            <w:r w:rsidRPr="00CE16DE">
              <w:rPr>
                <w:rFonts w:ascii="Times New Roman" w:hAnsi="Times New Roman"/>
                <w:color w:val="000000"/>
                <w:kern w:val="0"/>
                <w:sz w:val="24"/>
                <w:szCs w:val="24"/>
              </w:rPr>
              <w:t>0</w:t>
            </w:r>
          </w:p>
        </w:tc>
      </w:tr>
    </w:tbl>
    <w:p w:rsidR="00CE16DE" w:rsidRPr="00CE16DE" w:rsidRDefault="00CE16DE" w:rsidP="00DB66EC">
      <w:pPr>
        <w:spacing w:beforeLines="50" w:line="360" w:lineRule="auto"/>
        <w:jc w:val="left"/>
        <w:rPr>
          <w:rFonts w:ascii="Times New Roman" w:eastAsia="仿宋" w:hAnsi="Times New Roman"/>
          <w:color w:val="000000" w:themeColor="text1"/>
          <w:sz w:val="30"/>
          <w:szCs w:val="30"/>
        </w:rPr>
      </w:pPr>
      <w:r w:rsidRPr="00CE16D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3</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商场建筑能耗监测对标分析</w:t>
      </w:r>
    </w:p>
    <w:p w:rsidR="00392C5B" w:rsidRPr="00392C5B" w:rsidRDefault="00CE16DE" w:rsidP="00DB66EC">
      <w:pPr>
        <w:spacing w:afterLines="50" w:line="360" w:lineRule="auto"/>
        <w:ind w:firstLineChars="200" w:firstLine="600"/>
        <w:rPr>
          <w:rFonts w:ascii="Times New Roman" w:eastAsia="仿宋" w:hAnsi="Times New Roman"/>
          <w:color w:val="000000" w:themeColor="text1"/>
          <w:sz w:val="30"/>
          <w:szCs w:val="30"/>
        </w:rPr>
      </w:pPr>
      <w:r w:rsidRPr="00CE16DE">
        <w:rPr>
          <w:rFonts w:ascii="Times New Roman" w:eastAsia="仿宋" w:hAnsi="Times New Roman"/>
          <w:color w:val="000000" w:themeColor="text1"/>
          <w:sz w:val="30"/>
          <w:szCs w:val="30"/>
        </w:rPr>
        <w:t>某</w:t>
      </w:r>
      <w:r w:rsidR="00C93965">
        <w:rPr>
          <w:rFonts w:ascii="Times New Roman" w:eastAsia="仿宋" w:hAnsi="Times New Roman" w:hint="eastAsia"/>
          <w:color w:val="000000" w:themeColor="text1"/>
          <w:sz w:val="30"/>
          <w:szCs w:val="30"/>
        </w:rPr>
        <w:t>商场</w:t>
      </w:r>
      <w:r w:rsidRPr="00CE16DE">
        <w:rPr>
          <w:rFonts w:ascii="仿宋" w:eastAsia="仿宋" w:hAnsi="仿宋" w:hint="eastAsia"/>
          <w:color w:val="000000" w:themeColor="text1"/>
          <w:sz w:val="30"/>
          <w:szCs w:val="30"/>
        </w:rPr>
        <w:t>C</w:t>
      </w:r>
      <w:r w:rsidRPr="00CE16DE">
        <w:rPr>
          <w:rFonts w:ascii="Times New Roman" w:eastAsia="仿宋" w:hAnsi="Times New Roman" w:hint="eastAsia"/>
          <w:color w:val="000000" w:themeColor="text1"/>
          <w:sz w:val="30"/>
          <w:szCs w:val="30"/>
        </w:rPr>
        <w:t>位于上海市黄浦</w:t>
      </w:r>
      <w:r w:rsidRPr="00CE16DE">
        <w:rPr>
          <w:rFonts w:ascii="Times New Roman" w:eastAsia="仿宋" w:hAnsi="Times New Roman"/>
          <w:color w:val="000000" w:themeColor="text1"/>
          <w:sz w:val="30"/>
          <w:szCs w:val="30"/>
        </w:rPr>
        <w:t>区，其经营建筑面积为</w:t>
      </w:r>
      <w:r w:rsidRPr="00CE16DE">
        <w:rPr>
          <w:rFonts w:ascii="Times New Roman" w:eastAsia="仿宋" w:hAnsi="Times New Roman"/>
          <w:color w:val="000000" w:themeColor="text1"/>
          <w:sz w:val="30"/>
          <w:szCs w:val="30"/>
        </w:rPr>
        <w:t>42092 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w:t>
      </w:r>
      <w:r w:rsidRPr="00CE16DE">
        <w:rPr>
          <w:rFonts w:ascii="Times New Roman" w:eastAsia="仿宋" w:hAnsi="Times New Roman" w:hint="eastAsia"/>
          <w:color w:val="000000" w:themeColor="text1"/>
          <w:sz w:val="30"/>
          <w:szCs w:val="30"/>
        </w:rPr>
        <w:t>201</w:t>
      </w:r>
      <w:r w:rsidRPr="00CE16DE">
        <w:rPr>
          <w:rFonts w:ascii="Times New Roman" w:eastAsia="仿宋" w:hAnsi="Times New Roman"/>
          <w:color w:val="000000" w:themeColor="text1"/>
          <w:sz w:val="30"/>
          <w:szCs w:val="30"/>
        </w:rPr>
        <w:t>6</w:t>
      </w:r>
      <w:r w:rsidRPr="00CE16DE">
        <w:rPr>
          <w:rFonts w:ascii="Times New Roman" w:eastAsia="仿宋" w:hAnsi="Times New Roman" w:hint="eastAsia"/>
          <w:color w:val="000000" w:themeColor="text1"/>
          <w:sz w:val="30"/>
          <w:szCs w:val="30"/>
        </w:rPr>
        <w:t>年</w:t>
      </w:r>
      <w:r w:rsidRPr="00CE16DE">
        <w:rPr>
          <w:rFonts w:ascii="Times New Roman" w:eastAsia="仿宋" w:hAnsi="Times New Roman"/>
          <w:color w:val="000000" w:themeColor="text1"/>
          <w:sz w:val="30"/>
          <w:szCs w:val="30"/>
        </w:rPr>
        <w:t>该建筑单位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年耗</w:t>
      </w:r>
      <w:r w:rsidRPr="00CE16DE">
        <w:rPr>
          <w:rFonts w:ascii="Times New Roman" w:eastAsia="仿宋" w:hAnsi="Times New Roman" w:hint="eastAsia"/>
          <w:color w:val="000000" w:themeColor="text1"/>
          <w:sz w:val="30"/>
          <w:szCs w:val="30"/>
        </w:rPr>
        <w:t>电量为</w:t>
      </w:r>
      <w:r w:rsidRPr="00CE16DE">
        <w:rPr>
          <w:rFonts w:ascii="Times New Roman" w:eastAsia="仿宋" w:hAnsi="Times New Roman"/>
          <w:color w:val="000000" w:themeColor="text1"/>
          <w:sz w:val="30"/>
          <w:szCs w:val="30"/>
        </w:rPr>
        <w:t>285.3 kWh/ (m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折算成标准煤为</w:t>
      </w:r>
      <w:r w:rsidRPr="00CE16DE">
        <w:rPr>
          <w:rFonts w:ascii="Times New Roman" w:eastAsia="仿宋" w:hAnsi="Times New Roman"/>
          <w:color w:val="000000" w:themeColor="text1"/>
          <w:sz w:val="30"/>
          <w:szCs w:val="30"/>
        </w:rPr>
        <w:t>85.6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w:t>
      </w:r>
      <w:r w:rsidRPr="00CE16DE">
        <w:rPr>
          <w:rFonts w:ascii="Times New Roman" w:eastAsia="仿宋" w:hAnsi="Times New Roman" w:hint="eastAsia"/>
          <w:color w:val="000000" w:themeColor="text1"/>
          <w:sz w:val="30"/>
          <w:szCs w:val="30"/>
        </w:rPr>
        <w:t>经调研，</w:t>
      </w:r>
      <w:r w:rsidRPr="00CE16DE">
        <w:rPr>
          <w:rFonts w:ascii="Times New Roman" w:eastAsia="仿宋" w:hAnsi="Times New Roman"/>
          <w:color w:val="000000" w:themeColor="text1"/>
          <w:sz w:val="30"/>
          <w:szCs w:val="30"/>
        </w:rPr>
        <w:t>该建筑没有使用其</w:t>
      </w:r>
      <w:r w:rsidRPr="00CE16DE">
        <w:rPr>
          <w:rFonts w:ascii="Times New Roman" w:eastAsia="仿宋" w:hAnsi="Times New Roman" w:hint="eastAsia"/>
          <w:color w:val="000000" w:themeColor="text1"/>
          <w:sz w:val="30"/>
          <w:szCs w:val="30"/>
        </w:rPr>
        <w:t>他</w:t>
      </w:r>
      <w:r w:rsidRPr="00CE16DE">
        <w:rPr>
          <w:rFonts w:ascii="Times New Roman" w:eastAsia="仿宋" w:hAnsi="Times New Roman"/>
          <w:color w:val="000000" w:themeColor="text1"/>
          <w:sz w:val="30"/>
          <w:szCs w:val="30"/>
        </w:rPr>
        <w:t>能源</w:t>
      </w:r>
      <w:r w:rsidRPr="00CE16DE">
        <w:rPr>
          <w:rFonts w:ascii="Times New Roman" w:eastAsia="仿宋" w:hAnsi="Times New Roman" w:hint="eastAsia"/>
          <w:color w:val="000000" w:themeColor="text1"/>
          <w:sz w:val="30"/>
          <w:szCs w:val="30"/>
        </w:rPr>
        <w:t>消耗</w:t>
      </w:r>
      <w:r w:rsidRPr="00CE16DE">
        <w:rPr>
          <w:rFonts w:ascii="Times New Roman" w:eastAsia="仿宋" w:hAnsi="Times New Roman"/>
          <w:color w:val="000000" w:themeColor="text1"/>
          <w:sz w:val="30"/>
          <w:szCs w:val="30"/>
        </w:rPr>
        <w:t>，因此其单位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年综合能耗为</w:t>
      </w:r>
      <w:r w:rsidRPr="00CE16DE">
        <w:rPr>
          <w:rFonts w:ascii="Times New Roman" w:eastAsia="仿宋" w:hAnsi="Times New Roman"/>
          <w:color w:val="000000" w:themeColor="text1"/>
          <w:sz w:val="30"/>
          <w:szCs w:val="30"/>
        </w:rPr>
        <w:t>85.59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hint="eastAsia"/>
          <w:color w:val="000000" w:themeColor="text1"/>
          <w:sz w:val="30"/>
          <w:szCs w:val="30"/>
        </w:rPr>
        <w:t>。对照</w:t>
      </w:r>
      <w:r w:rsidRPr="00CE16DE">
        <w:rPr>
          <w:rFonts w:ascii="Times New Roman" w:eastAsia="仿宋" w:hAnsi="Times New Roman"/>
          <w:color w:val="000000" w:themeColor="text1"/>
          <w:sz w:val="30"/>
          <w:szCs w:val="30"/>
        </w:rPr>
        <w:t>《大型商业建筑合理用能指南》</w:t>
      </w:r>
      <w:r w:rsidRPr="00CE16DE">
        <w:rPr>
          <w:rFonts w:ascii="Times New Roman" w:eastAsia="仿宋" w:hAnsi="Times New Roman" w:hint="eastAsia"/>
          <w:color w:val="000000" w:themeColor="text1"/>
          <w:sz w:val="30"/>
          <w:szCs w:val="30"/>
        </w:rPr>
        <w:t>，该建筑</w:t>
      </w:r>
      <w:r w:rsidRPr="00CE16DE">
        <w:rPr>
          <w:rFonts w:ascii="Times New Roman" w:eastAsia="仿宋" w:hAnsi="Times New Roman"/>
          <w:color w:val="000000" w:themeColor="text1"/>
          <w:sz w:val="30"/>
          <w:szCs w:val="30"/>
        </w:rPr>
        <w:t>单位面积年综合</w:t>
      </w:r>
      <w:r w:rsidRPr="00CE16DE">
        <w:rPr>
          <w:rFonts w:ascii="Times New Roman" w:eastAsia="仿宋" w:hAnsi="Times New Roman" w:hint="eastAsia"/>
          <w:color w:val="000000" w:themeColor="text1"/>
          <w:sz w:val="30"/>
          <w:szCs w:val="30"/>
        </w:rPr>
        <w:t>用能量满足用能指标</w:t>
      </w:r>
      <w:r w:rsidRPr="00CE16DE">
        <w:rPr>
          <w:rFonts w:ascii="Times New Roman" w:eastAsia="仿宋" w:hAnsi="Times New Roman"/>
          <w:color w:val="000000" w:themeColor="text1"/>
          <w:sz w:val="30"/>
          <w:szCs w:val="30"/>
        </w:rPr>
        <w:t>合理值</w:t>
      </w:r>
      <w:r w:rsidRPr="00CE16DE">
        <w:rPr>
          <w:rFonts w:ascii="Times New Roman" w:eastAsia="仿宋" w:hAnsi="Times New Roman" w:hint="eastAsia"/>
          <w:color w:val="000000" w:themeColor="text1"/>
          <w:sz w:val="30"/>
          <w:szCs w:val="30"/>
        </w:rPr>
        <w:t>要求，如表</w:t>
      </w:r>
      <w:r w:rsidRPr="00CE16DE">
        <w:rPr>
          <w:rFonts w:ascii="Times New Roman" w:eastAsia="仿宋" w:hAnsi="Times New Roman" w:hint="eastAsia"/>
          <w:color w:val="000000" w:themeColor="text1"/>
          <w:sz w:val="30"/>
          <w:szCs w:val="30"/>
        </w:rPr>
        <w:t>1</w:t>
      </w:r>
      <w:r w:rsidR="00E96944">
        <w:rPr>
          <w:rFonts w:ascii="Times New Roman" w:eastAsia="仿宋" w:hAnsi="Times New Roman"/>
          <w:color w:val="000000" w:themeColor="text1"/>
          <w:sz w:val="30"/>
          <w:szCs w:val="30"/>
        </w:rPr>
        <w:t>1</w:t>
      </w:r>
      <w:r w:rsidRPr="00CE16DE">
        <w:rPr>
          <w:rFonts w:ascii="Times New Roman" w:eastAsia="仿宋" w:hAnsi="Times New Roman" w:hint="eastAsia"/>
          <w:color w:val="000000" w:themeColor="text1"/>
          <w:sz w:val="30"/>
          <w:szCs w:val="30"/>
        </w:rPr>
        <w:t>所示</w:t>
      </w:r>
      <w:r w:rsidRPr="00CE16DE">
        <w:rPr>
          <w:rFonts w:ascii="Times New Roman" w:eastAsia="仿宋" w:hAnsi="Times New Roman"/>
          <w:color w:val="000000" w:themeColor="text1"/>
          <w:sz w:val="30"/>
          <w:szCs w:val="30"/>
        </w:rPr>
        <w:t>。</w:t>
      </w:r>
    </w:p>
    <w:p w:rsidR="00CE16DE" w:rsidRPr="00CE16DE" w:rsidRDefault="00CE16DE" w:rsidP="00CE16DE">
      <w:pPr>
        <w:pStyle w:val="af9"/>
        <w:jc w:val="center"/>
        <w:rPr>
          <w:rFonts w:ascii="Times New Roman" w:eastAsia="仿宋" w:hAnsi="Times New Roman" w:cs="Times New Roman"/>
          <w:color w:val="000000" w:themeColor="text1"/>
          <w:sz w:val="24"/>
          <w:szCs w:val="24"/>
        </w:rPr>
      </w:pPr>
      <w:r w:rsidRPr="00CE16DE">
        <w:rPr>
          <w:rFonts w:ascii="Times New Roman" w:eastAsia="仿宋" w:hAnsi="Times New Roman" w:cs="Times New Roman" w:hint="eastAsia"/>
          <w:color w:val="000000" w:themeColor="text1"/>
          <w:sz w:val="24"/>
          <w:szCs w:val="24"/>
        </w:rPr>
        <w:lastRenderedPageBreak/>
        <w:t>表</w:t>
      </w:r>
      <w:r w:rsidR="000A48AD" w:rsidRPr="00CE16DE">
        <w:rPr>
          <w:rFonts w:ascii="Times New Roman" w:eastAsia="仿宋" w:hAnsi="Times New Roman" w:cs="Times New Roman"/>
          <w:color w:val="000000" w:themeColor="text1"/>
          <w:sz w:val="24"/>
          <w:szCs w:val="24"/>
        </w:rPr>
        <w:fldChar w:fldCharType="begin"/>
      </w:r>
      <w:r w:rsidRPr="00CE16DE">
        <w:rPr>
          <w:rFonts w:ascii="Times New Roman" w:eastAsia="仿宋" w:hAnsi="Times New Roman" w:cs="Times New Roman" w:hint="eastAsia"/>
          <w:color w:val="000000" w:themeColor="text1"/>
          <w:sz w:val="24"/>
          <w:szCs w:val="24"/>
        </w:rPr>
        <w:instrText xml:space="preserve">SEQ </w:instrText>
      </w:r>
      <w:r w:rsidRPr="00CE16DE">
        <w:rPr>
          <w:rFonts w:ascii="Times New Roman" w:eastAsia="仿宋" w:hAnsi="Times New Roman" w:cs="Times New Roman" w:hint="eastAsia"/>
          <w:color w:val="000000" w:themeColor="text1"/>
          <w:sz w:val="24"/>
          <w:szCs w:val="24"/>
        </w:rPr>
        <w:instrText>表</w:instrText>
      </w:r>
      <w:r w:rsidRPr="00CE16DE">
        <w:rPr>
          <w:rFonts w:ascii="Times New Roman" w:eastAsia="仿宋" w:hAnsi="Times New Roman" w:cs="Times New Roman" w:hint="eastAsia"/>
          <w:color w:val="000000" w:themeColor="text1"/>
          <w:sz w:val="24"/>
          <w:szCs w:val="24"/>
        </w:rPr>
        <w:instrText xml:space="preserve"> \* ARABIC</w:instrText>
      </w:r>
      <w:r w:rsidR="000A48AD" w:rsidRPr="00CE16DE">
        <w:rPr>
          <w:rFonts w:ascii="Times New Roman" w:eastAsia="仿宋" w:hAnsi="Times New Roman" w:cs="Times New Roman"/>
          <w:color w:val="000000" w:themeColor="text1"/>
          <w:sz w:val="24"/>
          <w:szCs w:val="24"/>
        </w:rPr>
        <w:fldChar w:fldCharType="separate"/>
      </w:r>
      <w:r w:rsidR="002A7DFF">
        <w:rPr>
          <w:rFonts w:ascii="Times New Roman" w:eastAsia="仿宋" w:hAnsi="Times New Roman" w:cs="Times New Roman"/>
          <w:noProof/>
          <w:color w:val="000000" w:themeColor="text1"/>
          <w:sz w:val="24"/>
          <w:szCs w:val="24"/>
        </w:rPr>
        <w:t>1</w:t>
      </w:r>
      <w:r w:rsidR="000A48AD" w:rsidRPr="00CE16DE">
        <w:rPr>
          <w:rFonts w:ascii="Times New Roman" w:eastAsia="仿宋" w:hAnsi="Times New Roman" w:cs="Times New Roman"/>
          <w:color w:val="000000" w:themeColor="text1"/>
          <w:sz w:val="24"/>
          <w:szCs w:val="24"/>
        </w:rPr>
        <w:fldChar w:fldCharType="end"/>
      </w:r>
      <w:r w:rsidR="00E96944">
        <w:rPr>
          <w:rFonts w:ascii="Times New Roman" w:eastAsia="仿宋" w:hAnsi="Times New Roman" w:cs="Times New Roman"/>
          <w:color w:val="000000" w:themeColor="text1"/>
          <w:sz w:val="24"/>
          <w:szCs w:val="24"/>
        </w:rPr>
        <w:t>1</w:t>
      </w:r>
      <w:r w:rsidRPr="00CE16DE">
        <w:rPr>
          <w:rFonts w:ascii="Times New Roman" w:eastAsia="仿宋" w:hAnsi="Times New Roman" w:cs="Times New Roman" w:hint="eastAsia"/>
          <w:color w:val="000000" w:themeColor="text1"/>
          <w:sz w:val="24"/>
          <w:szCs w:val="24"/>
        </w:rPr>
        <w:t>商业建筑</w:t>
      </w:r>
      <w:r w:rsidRPr="00CE16DE">
        <w:rPr>
          <w:rFonts w:ascii="Times New Roman" w:eastAsia="仿宋" w:hAnsi="Times New Roman" w:cs="Times New Roman" w:hint="eastAsia"/>
          <w:color w:val="000000" w:themeColor="text1"/>
          <w:sz w:val="24"/>
          <w:szCs w:val="24"/>
        </w:rPr>
        <w:t>C</w:t>
      </w:r>
      <w:r w:rsidRPr="00CE16DE">
        <w:rPr>
          <w:rFonts w:ascii="Times New Roman" w:eastAsia="仿宋" w:hAnsi="Times New Roman" w:cs="Times New Roman" w:hint="eastAsia"/>
          <w:color w:val="000000" w:themeColor="text1"/>
          <w:sz w:val="24"/>
          <w:szCs w:val="24"/>
        </w:rPr>
        <w:t>能耗对标情况</w:t>
      </w:r>
    </w:p>
    <w:tbl>
      <w:tblPr>
        <w:tblW w:w="803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134"/>
        <w:gridCol w:w="2691"/>
        <w:gridCol w:w="2206"/>
        <w:gridCol w:w="2008"/>
      </w:tblGrid>
      <w:tr w:rsidR="00392C5B" w:rsidRPr="00CE16DE" w:rsidTr="00BE0E37">
        <w:trPr>
          <w:trHeight w:val="519"/>
          <w:jc w:val="center"/>
        </w:trPr>
        <w:tc>
          <w:tcPr>
            <w:tcW w:w="1134"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年份</w:t>
            </w:r>
          </w:p>
        </w:tc>
        <w:tc>
          <w:tcPr>
            <w:tcW w:w="2691"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单位面积年综合能耗</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2206"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指南合理值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2008"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指南先进值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r>
      <w:tr w:rsidR="00392C5B" w:rsidRPr="00CE16DE" w:rsidTr="00BE0E37">
        <w:trPr>
          <w:trHeight w:val="429"/>
          <w:jc w:val="center"/>
        </w:trPr>
        <w:tc>
          <w:tcPr>
            <w:tcW w:w="1134" w:type="dxa"/>
            <w:shd w:val="clear" w:color="auto" w:fill="auto"/>
            <w:vAlign w:val="center"/>
            <w:hideMark/>
          </w:tcPr>
          <w:p w:rsidR="00CE16DE" w:rsidRPr="00CE16DE" w:rsidRDefault="00CE16DE" w:rsidP="00CE16DE">
            <w:pPr>
              <w:widowControl/>
              <w:rPr>
                <w:rFonts w:ascii="Times New Roman" w:hAnsi="Times New Roman"/>
                <w:color w:val="000000"/>
                <w:kern w:val="0"/>
                <w:sz w:val="24"/>
                <w:szCs w:val="24"/>
              </w:rPr>
            </w:pPr>
            <w:r w:rsidRPr="00CE16DE">
              <w:rPr>
                <w:rFonts w:ascii="Times New Roman" w:hAnsi="Times New Roman"/>
                <w:color w:val="000000"/>
                <w:kern w:val="0"/>
                <w:sz w:val="24"/>
                <w:szCs w:val="24"/>
              </w:rPr>
              <w:t xml:space="preserve">　</w:t>
            </w:r>
            <w:r w:rsidR="001C77BD">
              <w:rPr>
                <w:rFonts w:ascii="Times New Roman" w:hAnsi="Times New Roman" w:hint="eastAsia"/>
                <w:color w:val="000000"/>
                <w:kern w:val="0"/>
                <w:sz w:val="24"/>
                <w:szCs w:val="24"/>
              </w:rPr>
              <w:t>2016</w:t>
            </w:r>
          </w:p>
        </w:tc>
        <w:tc>
          <w:tcPr>
            <w:tcW w:w="2691"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color w:val="000000"/>
                <w:kern w:val="0"/>
                <w:sz w:val="24"/>
                <w:szCs w:val="24"/>
              </w:rPr>
              <w:t>85.6</w:t>
            </w:r>
          </w:p>
        </w:tc>
        <w:tc>
          <w:tcPr>
            <w:tcW w:w="2206"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90.0</w:t>
            </w:r>
          </w:p>
        </w:tc>
        <w:tc>
          <w:tcPr>
            <w:tcW w:w="2008"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65.</w:t>
            </w:r>
            <w:r w:rsidRPr="00CE16DE">
              <w:rPr>
                <w:rFonts w:ascii="Times New Roman" w:hAnsi="Times New Roman"/>
                <w:color w:val="000000"/>
                <w:kern w:val="0"/>
                <w:sz w:val="24"/>
                <w:szCs w:val="24"/>
              </w:rPr>
              <w:t>0</w:t>
            </w:r>
          </w:p>
        </w:tc>
      </w:tr>
    </w:tbl>
    <w:p w:rsidR="00CE16DE" w:rsidRPr="00CE16DE" w:rsidRDefault="00CE16DE" w:rsidP="00DB66EC">
      <w:pPr>
        <w:spacing w:beforeLines="50" w:line="360" w:lineRule="auto"/>
        <w:jc w:val="left"/>
        <w:rPr>
          <w:rFonts w:ascii="Times New Roman" w:eastAsia="仿宋" w:hAnsi="Times New Roman"/>
          <w:color w:val="000000" w:themeColor="text1"/>
          <w:sz w:val="30"/>
          <w:szCs w:val="30"/>
        </w:rPr>
      </w:pPr>
      <w:r w:rsidRPr="00CE16D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4</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办公建筑能耗监测对标分析</w:t>
      </w:r>
    </w:p>
    <w:p w:rsidR="00CE16DE" w:rsidRPr="00CE16DE" w:rsidRDefault="00CE16DE" w:rsidP="00DB66EC">
      <w:pPr>
        <w:spacing w:afterLines="50" w:line="360" w:lineRule="auto"/>
        <w:ind w:firstLineChars="200" w:firstLine="600"/>
        <w:rPr>
          <w:rFonts w:ascii="Times New Roman" w:eastAsia="仿宋" w:hAnsi="Times New Roman"/>
          <w:color w:val="000000" w:themeColor="text1"/>
          <w:sz w:val="30"/>
          <w:szCs w:val="30"/>
        </w:rPr>
      </w:pPr>
      <w:r w:rsidRPr="00CE16DE">
        <w:rPr>
          <w:rFonts w:ascii="Times New Roman" w:eastAsia="仿宋" w:hAnsi="Times New Roman"/>
          <w:color w:val="000000" w:themeColor="text1"/>
          <w:sz w:val="30"/>
          <w:szCs w:val="30"/>
        </w:rPr>
        <w:t>某办公建筑</w:t>
      </w:r>
      <w:r w:rsidRPr="00CE16DE">
        <w:rPr>
          <w:rFonts w:ascii="仿宋" w:eastAsia="仿宋" w:hAnsi="仿宋" w:hint="eastAsia"/>
          <w:color w:val="000000" w:themeColor="text1"/>
          <w:sz w:val="30"/>
          <w:szCs w:val="30"/>
        </w:rPr>
        <w:t>D</w:t>
      </w:r>
      <w:r w:rsidRPr="00CE16DE">
        <w:rPr>
          <w:rFonts w:ascii="Times New Roman" w:eastAsia="仿宋" w:hAnsi="Times New Roman" w:hint="eastAsia"/>
          <w:color w:val="000000" w:themeColor="text1"/>
          <w:sz w:val="30"/>
          <w:szCs w:val="30"/>
        </w:rPr>
        <w:t>位于上海市</w:t>
      </w:r>
      <w:r w:rsidRPr="00CE16DE">
        <w:rPr>
          <w:rFonts w:ascii="Times New Roman" w:eastAsia="仿宋" w:hAnsi="Times New Roman"/>
          <w:color w:val="000000" w:themeColor="text1"/>
          <w:sz w:val="30"/>
          <w:szCs w:val="30"/>
        </w:rPr>
        <w:t>徐汇区，</w:t>
      </w:r>
      <w:r w:rsidRPr="00CE16DE">
        <w:rPr>
          <w:rFonts w:ascii="Times New Roman" w:eastAsia="仿宋" w:hAnsi="Times New Roman" w:hint="eastAsia"/>
          <w:color w:val="000000" w:themeColor="text1"/>
          <w:sz w:val="30"/>
          <w:szCs w:val="30"/>
        </w:rPr>
        <w:t>于</w:t>
      </w:r>
      <w:r w:rsidRPr="00CE16DE">
        <w:rPr>
          <w:rFonts w:ascii="Times New Roman" w:eastAsia="仿宋" w:hAnsi="Times New Roman" w:hint="eastAsia"/>
          <w:color w:val="000000" w:themeColor="text1"/>
          <w:sz w:val="30"/>
          <w:szCs w:val="30"/>
        </w:rPr>
        <w:t>2006</w:t>
      </w:r>
      <w:r w:rsidRPr="00CE16DE">
        <w:rPr>
          <w:rFonts w:ascii="Times New Roman" w:eastAsia="仿宋" w:hAnsi="Times New Roman" w:hint="eastAsia"/>
          <w:color w:val="000000" w:themeColor="text1"/>
          <w:sz w:val="30"/>
          <w:szCs w:val="30"/>
        </w:rPr>
        <w:t>年</w:t>
      </w:r>
      <w:r w:rsidRPr="00CE16DE">
        <w:rPr>
          <w:rFonts w:ascii="Times New Roman" w:eastAsia="仿宋" w:hAnsi="Times New Roman" w:hint="eastAsia"/>
          <w:color w:val="000000" w:themeColor="text1"/>
          <w:sz w:val="30"/>
          <w:szCs w:val="30"/>
        </w:rPr>
        <w:t>12</w:t>
      </w:r>
      <w:r w:rsidRPr="00CE16DE">
        <w:rPr>
          <w:rFonts w:ascii="Times New Roman" w:eastAsia="仿宋" w:hAnsi="Times New Roman" w:hint="eastAsia"/>
          <w:color w:val="000000" w:themeColor="text1"/>
          <w:sz w:val="30"/>
          <w:szCs w:val="30"/>
        </w:rPr>
        <w:t>月竣工，</w:t>
      </w:r>
      <w:r w:rsidRPr="00CE16DE">
        <w:rPr>
          <w:rFonts w:ascii="Times New Roman" w:eastAsia="仿宋" w:hAnsi="Times New Roman"/>
          <w:color w:val="000000" w:themeColor="text1"/>
          <w:sz w:val="30"/>
          <w:szCs w:val="30"/>
        </w:rPr>
        <w:t>建筑面积</w:t>
      </w:r>
      <w:r w:rsidRPr="00CE16DE">
        <w:rPr>
          <w:rFonts w:ascii="Times New Roman" w:eastAsia="仿宋" w:hAnsi="Times New Roman"/>
          <w:color w:val="000000" w:themeColor="text1"/>
          <w:sz w:val="30"/>
          <w:szCs w:val="30"/>
        </w:rPr>
        <w:t>31189.85</w:t>
      </w:r>
      <w:r w:rsidRPr="00CE16DE">
        <w:rPr>
          <w:rFonts w:ascii="Times New Roman" w:eastAsia="仿宋" w:hAnsi="Times New Roman" w:hint="eastAsia"/>
          <w:color w:val="000000" w:themeColor="text1"/>
          <w:sz w:val="30"/>
          <w:szCs w:val="30"/>
        </w:rPr>
        <w:t xml:space="preserve"> m</w:t>
      </w:r>
      <w:r w:rsidRPr="00CE16DE">
        <w:rPr>
          <w:rFonts w:ascii="Times New Roman" w:eastAsia="仿宋" w:hAnsi="Times New Roman" w:hint="eastAsia"/>
          <w:color w:val="000000" w:themeColor="text1"/>
          <w:sz w:val="30"/>
          <w:szCs w:val="30"/>
          <w:vertAlign w:val="superscript"/>
        </w:rPr>
        <w:t>2</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其中地下停车库面积</w:t>
      </w:r>
      <w:r w:rsidRPr="00CE16DE">
        <w:rPr>
          <w:rFonts w:ascii="Times New Roman" w:eastAsia="仿宋" w:hAnsi="Times New Roman"/>
          <w:color w:val="000000" w:themeColor="text1"/>
          <w:sz w:val="30"/>
          <w:szCs w:val="30"/>
        </w:rPr>
        <w:t>3641.99</w:t>
      </w:r>
      <w:r w:rsidRPr="00CE16DE">
        <w:rPr>
          <w:rFonts w:ascii="Times New Roman" w:eastAsia="仿宋" w:hAnsi="Times New Roman" w:hint="eastAsia"/>
          <w:color w:val="000000" w:themeColor="text1"/>
          <w:sz w:val="30"/>
          <w:szCs w:val="30"/>
        </w:rPr>
        <w:t xml:space="preserve"> m</w:t>
      </w:r>
      <w:r w:rsidRPr="00CE16DE">
        <w:rPr>
          <w:rFonts w:ascii="Times New Roman" w:eastAsia="仿宋" w:hAnsi="Times New Roman" w:hint="eastAsia"/>
          <w:color w:val="000000" w:themeColor="text1"/>
          <w:sz w:val="30"/>
          <w:szCs w:val="30"/>
          <w:vertAlign w:val="superscript"/>
        </w:rPr>
        <w:t>2</w:t>
      </w:r>
      <w:r w:rsidRPr="00CE16DE">
        <w:rPr>
          <w:rFonts w:ascii="Times New Roman" w:eastAsia="仿宋" w:hAnsi="Times New Roman" w:hint="eastAsia"/>
          <w:color w:val="000000" w:themeColor="text1"/>
          <w:sz w:val="30"/>
          <w:szCs w:val="30"/>
        </w:rPr>
        <w:t>，因此参与对标计算的建筑面积为</w:t>
      </w:r>
      <w:r w:rsidRPr="00CE16DE">
        <w:rPr>
          <w:rFonts w:ascii="Times New Roman" w:eastAsia="仿宋" w:hAnsi="Times New Roman" w:hint="eastAsia"/>
          <w:color w:val="000000" w:themeColor="text1"/>
          <w:sz w:val="30"/>
          <w:szCs w:val="30"/>
        </w:rPr>
        <w:t>27547.86 m</w:t>
      </w:r>
      <w:r w:rsidRPr="00CE16DE">
        <w:rPr>
          <w:rFonts w:ascii="Times New Roman" w:eastAsia="仿宋" w:hAnsi="Times New Roman" w:hint="eastAsia"/>
          <w:color w:val="000000" w:themeColor="text1"/>
          <w:sz w:val="30"/>
          <w:szCs w:val="30"/>
          <w:vertAlign w:val="superscript"/>
        </w:rPr>
        <w:t>2</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该建筑采用集中式空调系统。</w:t>
      </w:r>
      <w:r w:rsidRPr="00CE16DE">
        <w:rPr>
          <w:rFonts w:ascii="Times New Roman" w:eastAsia="仿宋" w:hAnsi="Times New Roman" w:hint="eastAsia"/>
          <w:color w:val="000000" w:themeColor="text1"/>
          <w:sz w:val="30"/>
          <w:szCs w:val="30"/>
        </w:rPr>
        <w:t>201</w:t>
      </w:r>
      <w:r w:rsidRPr="00CE16DE">
        <w:rPr>
          <w:rFonts w:ascii="Times New Roman" w:eastAsia="仿宋" w:hAnsi="Times New Roman"/>
          <w:color w:val="000000" w:themeColor="text1"/>
          <w:sz w:val="30"/>
          <w:szCs w:val="30"/>
        </w:rPr>
        <w:t>6</w:t>
      </w:r>
      <w:r w:rsidRPr="00CE16DE">
        <w:rPr>
          <w:rFonts w:ascii="Times New Roman" w:eastAsia="仿宋" w:hAnsi="Times New Roman" w:hint="eastAsia"/>
          <w:color w:val="000000" w:themeColor="text1"/>
          <w:sz w:val="30"/>
          <w:szCs w:val="30"/>
        </w:rPr>
        <w:t>年</w:t>
      </w:r>
      <w:r w:rsidRPr="00CE16DE">
        <w:rPr>
          <w:rFonts w:ascii="Times New Roman" w:eastAsia="仿宋" w:hAnsi="Times New Roman"/>
          <w:color w:val="000000" w:themeColor="text1"/>
          <w:sz w:val="30"/>
          <w:szCs w:val="30"/>
        </w:rPr>
        <w:t>该建筑单位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年耗</w:t>
      </w:r>
      <w:r w:rsidRPr="00CE16DE">
        <w:rPr>
          <w:rFonts w:ascii="Times New Roman" w:eastAsia="仿宋" w:hAnsi="Times New Roman" w:hint="eastAsia"/>
          <w:color w:val="000000" w:themeColor="text1"/>
          <w:sz w:val="30"/>
          <w:szCs w:val="30"/>
        </w:rPr>
        <w:t>电量为</w:t>
      </w:r>
      <w:r w:rsidRPr="00CE16DE">
        <w:rPr>
          <w:rFonts w:ascii="Times New Roman" w:eastAsia="仿宋" w:hAnsi="Times New Roman"/>
          <w:color w:val="000000" w:themeColor="text1"/>
          <w:sz w:val="30"/>
          <w:szCs w:val="30"/>
        </w:rPr>
        <w:t>97.1 kWh/ (m</w:t>
      </w:r>
      <w:r w:rsidRPr="00CE16DE">
        <w:rPr>
          <w:rFonts w:ascii="Times New Roman" w:eastAsia="仿宋" w:hAnsi="Times New Roman"/>
          <w:color w:val="000000" w:themeColor="text1"/>
          <w:sz w:val="30"/>
          <w:szCs w:val="30"/>
          <w:vertAlign w:val="superscript"/>
        </w:rPr>
        <w:t>2</w:t>
      </w:r>
      <w:r w:rsidRPr="00CE16DE">
        <w:rPr>
          <w:rFonts w:ascii="Times New Roman" w:hAnsi="Times New Roman"/>
          <w:color w:val="000000" w:themeColor="text1"/>
          <w:sz w:val="30"/>
          <w:szCs w:val="30"/>
        </w:rPr>
        <w:t>•</w:t>
      </w:r>
      <w:r w:rsidRPr="00CE16DE">
        <w:rPr>
          <w:rFonts w:ascii="Times New Roman" w:eastAsia="仿宋" w:hAnsi="Times New Roman"/>
          <w:color w:val="000000" w:themeColor="text1"/>
          <w:sz w:val="30"/>
          <w:szCs w:val="30"/>
        </w:rPr>
        <w:t>a)</w:t>
      </w:r>
      <w:r w:rsidRPr="00CE16DE">
        <w:rPr>
          <w:rFonts w:ascii="Times New Roman" w:eastAsia="仿宋" w:hAnsi="Times New Roman" w:hint="eastAsia"/>
          <w:color w:val="000000" w:themeColor="text1"/>
          <w:sz w:val="30"/>
          <w:szCs w:val="30"/>
        </w:rPr>
        <w:t>，</w:t>
      </w:r>
      <w:r w:rsidRPr="00CE16DE">
        <w:rPr>
          <w:rFonts w:ascii="Times New Roman" w:eastAsia="仿宋" w:hAnsi="Times New Roman"/>
          <w:color w:val="000000" w:themeColor="text1"/>
          <w:sz w:val="30"/>
          <w:szCs w:val="30"/>
        </w:rPr>
        <w:t>折算成标准煤为</w:t>
      </w:r>
      <w:r w:rsidRPr="00CE16DE">
        <w:rPr>
          <w:rFonts w:ascii="Times New Roman" w:eastAsia="仿宋" w:hAnsi="Times New Roman"/>
          <w:color w:val="000000" w:themeColor="text1"/>
          <w:sz w:val="30"/>
          <w:szCs w:val="30"/>
        </w:rPr>
        <w:t>29.1 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008B3E2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经调研，该建筑</w:t>
      </w:r>
      <w:r w:rsidRPr="00CE16DE">
        <w:rPr>
          <w:rFonts w:ascii="Times New Roman" w:eastAsia="仿宋" w:hAnsi="Times New Roman"/>
          <w:color w:val="000000" w:themeColor="text1"/>
          <w:sz w:val="30"/>
          <w:szCs w:val="30"/>
        </w:rPr>
        <w:t>其</w:t>
      </w:r>
      <w:r w:rsidRPr="00CE16DE">
        <w:rPr>
          <w:rFonts w:ascii="Times New Roman" w:eastAsia="仿宋" w:hAnsi="Times New Roman" w:hint="eastAsia"/>
          <w:color w:val="000000" w:themeColor="text1"/>
          <w:sz w:val="30"/>
          <w:szCs w:val="30"/>
        </w:rPr>
        <w:t>他</w:t>
      </w:r>
      <w:r w:rsidRPr="00CE16DE">
        <w:rPr>
          <w:rFonts w:ascii="Times New Roman" w:eastAsia="仿宋" w:hAnsi="Times New Roman"/>
          <w:color w:val="000000" w:themeColor="text1"/>
          <w:sz w:val="30"/>
          <w:szCs w:val="30"/>
        </w:rPr>
        <w:t>能源</w:t>
      </w:r>
      <w:r w:rsidRPr="00CE16DE">
        <w:rPr>
          <w:rFonts w:ascii="Times New Roman" w:eastAsia="仿宋" w:hAnsi="Times New Roman" w:hint="eastAsia"/>
          <w:color w:val="000000" w:themeColor="text1"/>
          <w:sz w:val="30"/>
          <w:szCs w:val="30"/>
        </w:rPr>
        <w:t>消耗</w:t>
      </w:r>
      <w:r w:rsidRPr="00CE16DE">
        <w:rPr>
          <w:rFonts w:ascii="Times New Roman" w:eastAsia="仿宋" w:hAnsi="Times New Roman"/>
          <w:color w:val="000000" w:themeColor="text1"/>
          <w:sz w:val="30"/>
          <w:szCs w:val="30"/>
        </w:rPr>
        <w:t>占</w:t>
      </w:r>
      <w:r w:rsidRPr="00CE16DE">
        <w:rPr>
          <w:rFonts w:ascii="Times New Roman" w:eastAsia="仿宋" w:hAnsi="Times New Roman" w:hint="eastAsia"/>
          <w:color w:val="000000" w:themeColor="text1"/>
          <w:sz w:val="30"/>
          <w:szCs w:val="30"/>
        </w:rPr>
        <w:t>综合</w:t>
      </w:r>
      <w:r w:rsidRPr="00CE16DE">
        <w:rPr>
          <w:rFonts w:ascii="Times New Roman" w:eastAsia="仿宋" w:hAnsi="Times New Roman"/>
          <w:color w:val="000000" w:themeColor="text1"/>
          <w:sz w:val="30"/>
          <w:szCs w:val="30"/>
        </w:rPr>
        <w:t>能耗</w:t>
      </w:r>
      <w:r w:rsidR="00392C5B">
        <w:rPr>
          <w:rFonts w:ascii="Times New Roman" w:eastAsia="仿宋" w:hAnsi="Times New Roman" w:hint="eastAsia"/>
          <w:color w:val="000000" w:themeColor="text1"/>
          <w:sz w:val="30"/>
          <w:szCs w:val="30"/>
        </w:rPr>
        <w:t>的</w:t>
      </w:r>
      <w:r w:rsidR="00392C5B">
        <w:rPr>
          <w:rFonts w:ascii="Times New Roman" w:eastAsia="仿宋" w:hAnsi="Times New Roman" w:hint="eastAsia"/>
          <w:color w:val="000000" w:themeColor="text1"/>
          <w:sz w:val="30"/>
          <w:szCs w:val="30"/>
        </w:rPr>
        <w:t>6</w:t>
      </w:r>
      <w:r w:rsidRPr="00CE16DE">
        <w:rPr>
          <w:rFonts w:ascii="Times New Roman" w:eastAsia="仿宋" w:hAnsi="Times New Roman"/>
          <w:color w:val="000000" w:themeColor="text1"/>
          <w:sz w:val="30"/>
          <w:szCs w:val="30"/>
        </w:rPr>
        <w:t>%</w:t>
      </w:r>
      <w:r w:rsidRPr="00CE16DE">
        <w:rPr>
          <w:rFonts w:ascii="Times New Roman" w:eastAsia="仿宋" w:hAnsi="Times New Roman"/>
          <w:color w:val="000000" w:themeColor="text1"/>
          <w:sz w:val="30"/>
          <w:szCs w:val="30"/>
        </w:rPr>
        <w:t>，因此</w:t>
      </w:r>
      <w:r w:rsidRPr="00CE16DE">
        <w:rPr>
          <w:rFonts w:ascii="Times New Roman" w:eastAsia="仿宋" w:hAnsi="Times New Roman" w:hint="eastAsia"/>
          <w:color w:val="000000" w:themeColor="text1"/>
          <w:sz w:val="30"/>
          <w:szCs w:val="30"/>
        </w:rPr>
        <w:t>其</w:t>
      </w:r>
      <w:r w:rsidRPr="00CE16DE">
        <w:rPr>
          <w:rFonts w:ascii="Times New Roman" w:eastAsia="仿宋" w:hAnsi="Times New Roman"/>
          <w:color w:val="000000" w:themeColor="text1"/>
          <w:sz w:val="30"/>
          <w:szCs w:val="30"/>
        </w:rPr>
        <w:t>单位</w:t>
      </w:r>
      <w:r w:rsidRPr="00CE16DE">
        <w:rPr>
          <w:rFonts w:ascii="Times New Roman" w:eastAsia="仿宋" w:hAnsi="Times New Roman" w:hint="eastAsia"/>
          <w:color w:val="000000" w:themeColor="text1"/>
          <w:sz w:val="30"/>
          <w:szCs w:val="30"/>
        </w:rPr>
        <w:t>面积</w:t>
      </w:r>
      <w:r w:rsidRPr="00CE16DE">
        <w:rPr>
          <w:rFonts w:ascii="Times New Roman" w:eastAsia="仿宋" w:hAnsi="Times New Roman"/>
          <w:color w:val="000000" w:themeColor="text1"/>
          <w:sz w:val="30"/>
          <w:szCs w:val="30"/>
        </w:rPr>
        <w:t>年综合能耗为</w:t>
      </w:r>
      <w:r w:rsidRPr="00CE16DE">
        <w:rPr>
          <w:rFonts w:ascii="Times New Roman" w:eastAsia="仿宋" w:hAnsi="Times New Roman"/>
          <w:color w:val="000000" w:themeColor="text1"/>
          <w:sz w:val="30"/>
          <w:szCs w:val="30"/>
        </w:rPr>
        <w:t>31.0kgce/(m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color w:val="000000" w:themeColor="text1"/>
          <w:sz w:val="30"/>
          <w:szCs w:val="30"/>
        </w:rPr>
        <w:t>。</w:t>
      </w:r>
      <w:r w:rsidRPr="00CE16DE">
        <w:rPr>
          <w:rFonts w:ascii="Times New Roman" w:eastAsia="仿宋" w:hAnsi="Times New Roman" w:hint="eastAsia"/>
          <w:color w:val="000000" w:themeColor="text1"/>
          <w:sz w:val="30"/>
          <w:szCs w:val="30"/>
        </w:rPr>
        <w:t>按照</w:t>
      </w:r>
      <w:r w:rsidRPr="00CE16DE">
        <w:rPr>
          <w:rFonts w:ascii="Times New Roman" w:eastAsia="仿宋" w:hAnsi="Times New Roman"/>
          <w:color w:val="000000" w:themeColor="text1"/>
          <w:sz w:val="30"/>
          <w:szCs w:val="30"/>
        </w:rPr>
        <w:t>《综合建筑合理用能指南》</w:t>
      </w:r>
      <w:r w:rsidRPr="00CE16DE">
        <w:rPr>
          <w:rFonts w:ascii="Times New Roman" w:eastAsia="仿宋" w:hAnsi="Times New Roman" w:hint="eastAsia"/>
          <w:color w:val="000000" w:themeColor="text1"/>
          <w:sz w:val="30"/>
          <w:szCs w:val="30"/>
        </w:rPr>
        <w:t>，该建筑</w:t>
      </w:r>
      <w:r w:rsidRPr="00CE16DE">
        <w:rPr>
          <w:rFonts w:ascii="Times New Roman" w:eastAsia="仿宋" w:hAnsi="Times New Roman"/>
          <w:color w:val="000000" w:themeColor="text1"/>
          <w:sz w:val="30"/>
          <w:szCs w:val="30"/>
        </w:rPr>
        <w:t>单位面积年综合</w:t>
      </w:r>
      <w:r w:rsidRPr="00CE16DE">
        <w:rPr>
          <w:rFonts w:ascii="Times New Roman" w:eastAsia="仿宋" w:hAnsi="Times New Roman" w:hint="eastAsia"/>
          <w:color w:val="000000" w:themeColor="text1"/>
          <w:sz w:val="30"/>
          <w:szCs w:val="30"/>
        </w:rPr>
        <w:t>用能量满足用能指标</w:t>
      </w:r>
      <w:r w:rsidRPr="00CE16DE">
        <w:rPr>
          <w:rFonts w:ascii="Times New Roman" w:eastAsia="仿宋" w:hAnsi="Times New Roman"/>
          <w:color w:val="000000" w:themeColor="text1"/>
          <w:sz w:val="30"/>
          <w:szCs w:val="30"/>
        </w:rPr>
        <w:t>先进值</w:t>
      </w:r>
      <w:r w:rsidRPr="00CE16DE">
        <w:rPr>
          <w:rFonts w:ascii="Times New Roman" w:eastAsia="仿宋" w:hAnsi="Times New Roman" w:hint="eastAsia"/>
          <w:color w:val="000000" w:themeColor="text1"/>
          <w:sz w:val="30"/>
          <w:szCs w:val="30"/>
        </w:rPr>
        <w:t>要求，如表</w:t>
      </w:r>
      <w:r w:rsidRPr="00CE16DE">
        <w:rPr>
          <w:rFonts w:ascii="Times New Roman" w:eastAsia="仿宋" w:hAnsi="Times New Roman" w:hint="eastAsia"/>
          <w:color w:val="000000" w:themeColor="text1"/>
          <w:sz w:val="30"/>
          <w:szCs w:val="30"/>
        </w:rPr>
        <w:t>1</w:t>
      </w:r>
      <w:r w:rsidR="00E96944">
        <w:rPr>
          <w:rFonts w:ascii="Times New Roman" w:eastAsia="仿宋" w:hAnsi="Times New Roman"/>
          <w:color w:val="000000" w:themeColor="text1"/>
          <w:sz w:val="30"/>
          <w:szCs w:val="30"/>
        </w:rPr>
        <w:t>2</w:t>
      </w:r>
      <w:r w:rsidRPr="00CE16DE">
        <w:rPr>
          <w:rFonts w:ascii="Times New Roman" w:eastAsia="仿宋" w:hAnsi="Times New Roman" w:hint="eastAsia"/>
          <w:color w:val="000000" w:themeColor="text1"/>
          <w:sz w:val="30"/>
          <w:szCs w:val="30"/>
        </w:rPr>
        <w:t>所示</w:t>
      </w:r>
      <w:r w:rsidRPr="00CE16DE">
        <w:rPr>
          <w:rFonts w:ascii="Times New Roman" w:eastAsia="仿宋" w:hAnsi="Times New Roman"/>
          <w:color w:val="000000" w:themeColor="text1"/>
          <w:sz w:val="30"/>
          <w:szCs w:val="30"/>
        </w:rPr>
        <w:t>。</w:t>
      </w:r>
    </w:p>
    <w:p w:rsidR="00CE16DE" w:rsidRPr="00CE16DE" w:rsidRDefault="00CE16DE" w:rsidP="00CE16DE">
      <w:pPr>
        <w:pStyle w:val="af9"/>
        <w:jc w:val="center"/>
        <w:rPr>
          <w:rFonts w:ascii="Times New Roman" w:eastAsia="仿宋" w:hAnsi="Times New Roman" w:cs="Times New Roman"/>
          <w:color w:val="000000" w:themeColor="text1"/>
          <w:sz w:val="24"/>
          <w:szCs w:val="24"/>
        </w:rPr>
      </w:pPr>
      <w:r w:rsidRPr="00CE16DE">
        <w:rPr>
          <w:rFonts w:ascii="Times New Roman" w:eastAsia="仿宋" w:hAnsi="Times New Roman" w:cs="Times New Roman" w:hint="eastAsia"/>
          <w:color w:val="000000" w:themeColor="text1"/>
          <w:sz w:val="24"/>
          <w:szCs w:val="24"/>
        </w:rPr>
        <w:t>表</w:t>
      </w:r>
      <w:r w:rsidR="00FE4F21">
        <w:rPr>
          <w:rFonts w:ascii="Times New Roman" w:eastAsia="仿宋" w:hAnsi="Times New Roman" w:cs="Times New Roman"/>
          <w:color w:val="000000" w:themeColor="text1"/>
          <w:sz w:val="24"/>
          <w:szCs w:val="24"/>
        </w:rPr>
        <w:t>1</w:t>
      </w:r>
      <w:r w:rsidR="00E96944">
        <w:rPr>
          <w:rFonts w:ascii="Times New Roman" w:eastAsia="仿宋" w:hAnsi="Times New Roman" w:cs="Times New Roman"/>
          <w:color w:val="000000" w:themeColor="text1"/>
          <w:sz w:val="24"/>
          <w:szCs w:val="24"/>
        </w:rPr>
        <w:t>2</w:t>
      </w:r>
      <w:r w:rsidRPr="00CE16DE">
        <w:rPr>
          <w:rFonts w:ascii="Times New Roman" w:eastAsia="仿宋" w:hAnsi="Times New Roman" w:cs="Times New Roman" w:hint="eastAsia"/>
          <w:color w:val="000000" w:themeColor="text1"/>
          <w:sz w:val="24"/>
          <w:szCs w:val="24"/>
        </w:rPr>
        <w:t>办公建筑</w:t>
      </w:r>
      <w:r w:rsidRPr="00CE16DE">
        <w:rPr>
          <w:rFonts w:ascii="Times New Roman" w:eastAsia="仿宋" w:hAnsi="Times New Roman" w:cs="Times New Roman" w:hint="eastAsia"/>
          <w:color w:val="000000" w:themeColor="text1"/>
          <w:sz w:val="24"/>
          <w:szCs w:val="24"/>
        </w:rPr>
        <w:t>D</w:t>
      </w:r>
      <w:r w:rsidRPr="00CE16DE">
        <w:rPr>
          <w:rFonts w:ascii="Times New Roman" w:eastAsia="仿宋" w:hAnsi="Times New Roman" w:cs="Times New Roman" w:hint="eastAsia"/>
          <w:color w:val="000000" w:themeColor="text1"/>
          <w:sz w:val="24"/>
          <w:szCs w:val="24"/>
        </w:rPr>
        <w:t>能耗对标情况</w:t>
      </w:r>
    </w:p>
    <w:tbl>
      <w:tblPr>
        <w:tblW w:w="794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134"/>
        <w:gridCol w:w="2407"/>
        <w:gridCol w:w="2088"/>
        <w:gridCol w:w="2311"/>
      </w:tblGrid>
      <w:tr w:rsidR="00392C5B" w:rsidRPr="00CE16DE" w:rsidTr="00311D36">
        <w:trPr>
          <w:trHeight w:val="519"/>
          <w:jc w:val="center"/>
        </w:trPr>
        <w:tc>
          <w:tcPr>
            <w:tcW w:w="1134"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年份</w:t>
            </w:r>
          </w:p>
        </w:tc>
        <w:tc>
          <w:tcPr>
            <w:tcW w:w="2407"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单位面积年综合能耗</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2088"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指南合理值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c>
          <w:tcPr>
            <w:tcW w:w="2311" w:type="dxa"/>
            <w:shd w:val="clear" w:color="auto" w:fill="auto"/>
            <w:vAlign w:val="center"/>
            <w:hideMark/>
          </w:tcPr>
          <w:p w:rsidR="00CE16DE" w:rsidRPr="00CE16DE" w:rsidRDefault="00CE16DE" w:rsidP="00CE16DE">
            <w:pPr>
              <w:widowControl/>
              <w:jc w:val="center"/>
              <w:rPr>
                <w:rFonts w:ascii="仿宋" w:eastAsia="仿宋" w:hAnsi="仿宋" w:cs="宋体"/>
                <w:color w:val="000000"/>
                <w:kern w:val="0"/>
                <w:sz w:val="24"/>
                <w:szCs w:val="24"/>
              </w:rPr>
            </w:pPr>
            <w:r w:rsidRPr="00CE16DE">
              <w:rPr>
                <w:rFonts w:ascii="仿宋" w:eastAsia="仿宋" w:hAnsi="仿宋" w:cs="宋体" w:hint="eastAsia"/>
                <w:color w:val="000000"/>
                <w:kern w:val="0"/>
                <w:sz w:val="24"/>
                <w:szCs w:val="24"/>
              </w:rPr>
              <w:t>指南先进值</w:t>
            </w:r>
          </w:p>
          <w:p w:rsidR="00CE16DE" w:rsidRPr="00CE16DE" w:rsidRDefault="00CE16DE" w:rsidP="00CE16DE">
            <w:pPr>
              <w:widowControl/>
              <w:jc w:val="center"/>
              <w:rPr>
                <w:rFonts w:ascii="仿宋" w:eastAsia="仿宋" w:hAnsi="仿宋" w:cs="宋体"/>
                <w:color w:val="000000"/>
                <w:kern w:val="0"/>
                <w:sz w:val="24"/>
                <w:szCs w:val="24"/>
              </w:rPr>
            </w:pPr>
            <w:r w:rsidRPr="00CE16DE">
              <w:rPr>
                <w:rFonts w:ascii="Times New Roman" w:eastAsia="仿宋" w:hAnsi="Times New Roman"/>
                <w:color w:val="000000" w:themeColor="text1"/>
                <w:sz w:val="24"/>
                <w:szCs w:val="24"/>
              </w:rPr>
              <w:t>kgce/(m</w:t>
            </w:r>
            <w:r w:rsidRPr="00CE16DE">
              <w:rPr>
                <w:rFonts w:ascii="Times New Roman" w:eastAsia="仿宋" w:hAnsi="Times New Roman"/>
                <w:color w:val="000000" w:themeColor="text1"/>
                <w:sz w:val="24"/>
                <w:szCs w:val="24"/>
                <w:vertAlign w:val="superscript"/>
              </w:rPr>
              <w:t>2</w:t>
            </w:r>
            <w:r w:rsidRPr="00CE16DE">
              <w:rPr>
                <w:rFonts w:ascii="Times New Roman" w:eastAsia="仿宋" w:hAnsi="Times New Roman"/>
                <w:color w:val="000000" w:themeColor="text1"/>
                <w:sz w:val="24"/>
                <w:szCs w:val="24"/>
              </w:rPr>
              <w:t>·a)</w:t>
            </w:r>
          </w:p>
        </w:tc>
      </w:tr>
      <w:tr w:rsidR="00392C5B" w:rsidRPr="00CE16DE" w:rsidTr="00311D36">
        <w:trPr>
          <w:trHeight w:val="429"/>
          <w:jc w:val="center"/>
        </w:trPr>
        <w:tc>
          <w:tcPr>
            <w:tcW w:w="1134" w:type="dxa"/>
            <w:shd w:val="clear" w:color="auto" w:fill="auto"/>
            <w:vAlign w:val="center"/>
            <w:hideMark/>
          </w:tcPr>
          <w:p w:rsidR="00CE16DE" w:rsidRPr="00CE16DE" w:rsidRDefault="00CE16DE" w:rsidP="00CE16DE">
            <w:pPr>
              <w:widowControl/>
              <w:rPr>
                <w:rFonts w:ascii="Times New Roman" w:hAnsi="Times New Roman"/>
                <w:color w:val="000000"/>
                <w:kern w:val="0"/>
                <w:sz w:val="24"/>
                <w:szCs w:val="24"/>
              </w:rPr>
            </w:pPr>
            <w:r w:rsidRPr="00CE16DE">
              <w:rPr>
                <w:rFonts w:ascii="Times New Roman" w:hAnsi="Times New Roman"/>
                <w:color w:val="000000"/>
                <w:kern w:val="0"/>
                <w:sz w:val="24"/>
                <w:szCs w:val="24"/>
              </w:rPr>
              <w:t xml:space="preserve">　</w:t>
            </w:r>
            <w:r w:rsidR="001C77BD">
              <w:rPr>
                <w:rFonts w:ascii="Times New Roman" w:hAnsi="Times New Roman" w:hint="eastAsia"/>
                <w:color w:val="000000"/>
                <w:kern w:val="0"/>
                <w:sz w:val="24"/>
                <w:szCs w:val="24"/>
              </w:rPr>
              <w:t>2016</w:t>
            </w:r>
          </w:p>
        </w:tc>
        <w:tc>
          <w:tcPr>
            <w:tcW w:w="2407"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31.</w:t>
            </w:r>
            <w:r w:rsidRPr="00CE16DE">
              <w:rPr>
                <w:rFonts w:ascii="Times New Roman" w:hAnsi="Times New Roman"/>
                <w:color w:val="000000"/>
                <w:kern w:val="0"/>
                <w:sz w:val="24"/>
                <w:szCs w:val="24"/>
              </w:rPr>
              <w:t>0</w:t>
            </w:r>
          </w:p>
        </w:tc>
        <w:tc>
          <w:tcPr>
            <w:tcW w:w="2088"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47.0</w:t>
            </w:r>
          </w:p>
        </w:tc>
        <w:tc>
          <w:tcPr>
            <w:tcW w:w="2311" w:type="dxa"/>
            <w:shd w:val="clear" w:color="auto" w:fill="auto"/>
            <w:vAlign w:val="center"/>
            <w:hideMark/>
          </w:tcPr>
          <w:p w:rsidR="00CE16DE" w:rsidRPr="00CE16DE" w:rsidRDefault="00CE16DE" w:rsidP="00CE16DE">
            <w:pPr>
              <w:widowControl/>
              <w:jc w:val="center"/>
              <w:rPr>
                <w:rFonts w:ascii="Times New Roman" w:hAnsi="Times New Roman"/>
                <w:color w:val="000000"/>
                <w:kern w:val="0"/>
                <w:sz w:val="24"/>
                <w:szCs w:val="24"/>
              </w:rPr>
            </w:pPr>
            <w:r w:rsidRPr="00CE16DE">
              <w:rPr>
                <w:rFonts w:ascii="Times New Roman" w:hAnsi="Times New Roman" w:hint="eastAsia"/>
                <w:color w:val="000000"/>
                <w:kern w:val="0"/>
                <w:sz w:val="24"/>
                <w:szCs w:val="24"/>
              </w:rPr>
              <w:t>33.0</w:t>
            </w:r>
          </w:p>
        </w:tc>
      </w:tr>
    </w:tbl>
    <w:p w:rsidR="00A36B13" w:rsidRDefault="00CE16DE" w:rsidP="00DB66EC">
      <w:pPr>
        <w:spacing w:beforeLines="50" w:line="360" w:lineRule="auto"/>
        <w:ind w:firstLineChars="200" w:firstLine="600"/>
        <w:rPr>
          <w:rFonts w:ascii="Times New Roman" w:eastAsia="仿宋" w:hAnsi="Times New Roman"/>
          <w:color w:val="000000" w:themeColor="text1"/>
          <w:sz w:val="30"/>
          <w:szCs w:val="30"/>
        </w:rPr>
      </w:pPr>
      <w:r w:rsidRPr="00CE16DE">
        <w:rPr>
          <w:rFonts w:ascii="Times New Roman" w:eastAsia="仿宋" w:hAnsi="Times New Roman" w:hint="eastAsia"/>
          <w:color w:val="000000" w:themeColor="text1"/>
          <w:sz w:val="30"/>
          <w:szCs w:val="30"/>
        </w:rPr>
        <w:t>该建筑在</w:t>
      </w:r>
      <w:r w:rsidRPr="00CE16DE">
        <w:rPr>
          <w:rFonts w:ascii="Times New Roman" w:eastAsia="仿宋" w:hAnsi="Times New Roman" w:hint="eastAsia"/>
          <w:color w:val="000000" w:themeColor="text1"/>
          <w:sz w:val="30"/>
          <w:szCs w:val="30"/>
        </w:rPr>
        <w:t>2014</w:t>
      </w:r>
      <w:r w:rsidR="00392C5B">
        <w:rPr>
          <w:rFonts w:ascii="Times New Roman" w:eastAsia="仿宋" w:hAnsi="Times New Roman" w:hint="eastAsia"/>
          <w:color w:val="000000" w:themeColor="text1"/>
          <w:sz w:val="30"/>
          <w:szCs w:val="30"/>
        </w:rPr>
        <w:t>年完成</w:t>
      </w:r>
      <w:r w:rsidRPr="00CE16DE">
        <w:rPr>
          <w:rFonts w:ascii="Times New Roman" w:eastAsia="仿宋" w:hAnsi="Times New Roman" w:hint="eastAsia"/>
          <w:color w:val="000000" w:themeColor="text1"/>
          <w:sz w:val="30"/>
          <w:szCs w:val="30"/>
        </w:rPr>
        <w:t>节能改造</w:t>
      </w:r>
      <w:r w:rsidR="008B3E2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改造前，其单位面积年综合能耗为</w:t>
      </w:r>
      <w:r w:rsidRPr="00CE16DE">
        <w:rPr>
          <w:rFonts w:ascii="Times New Roman" w:eastAsia="仿宋" w:hAnsi="Times New Roman" w:hint="eastAsia"/>
          <w:color w:val="000000" w:themeColor="text1"/>
          <w:sz w:val="30"/>
          <w:szCs w:val="30"/>
        </w:rPr>
        <w:t xml:space="preserve">48.3 </w:t>
      </w:r>
      <w:r w:rsidRPr="00CE16DE">
        <w:rPr>
          <w:rFonts w:ascii="Times New Roman" w:eastAsia="仿宋" w:hAnsi="Times New Roman"/>
          <w:color w:val="000000" w:themeColor="text1"/>
          <w:sz w:val="30"/>
          <w:szCs w:val="30"/>
        </w:rPr>
        <w:t>kgce/(m</w:t>
      </w:r>
      <w:r w:rsidRPr="00CE16DE">
        <w:rPr>
          <w:rFonts w:ascii="Times New Roman" w:eastAsia="仿宋" w:hAnsi="Times New Roman"/>
          <w:color w:val="000000" w:themeColor="text1"/>
          <w:sz w:val="30"/>
          <w:szCs w:val="30"/>
          <w:vertAlign w:val="superscript"/>
        </w:rPr>
        <w:t>2</w:t>
      </w:r>
      <w:r w:rsidRPr="00CE16DE">
        <w:rPr>
          <w:rFonts w:ascii="Times New Roman" w:eastAsia="仿宋" w:hAnsi="Times New Roman"/>
          <w:color w:val="000000" w:themeColor="text1"/>
          <w:sz w:val="30"/>
          <w:szCs w:val="30"/>
        </w:rPr>
        <w:t>·a)</w:t>
      </w:r>
      <w:r w:rsidRPr="00CE16DE">
        <w:rPr>
          <w:rFonts w:ascii="Times New Roman" w:eastAsia="仿宋" w:hAnsi="Times New Roman" w:hint="eastAsia"/>
          <w:color w:val="000000" w:themeColor="text1"/>
          <w:sz w:val="30"/>
          <w:szCs w:val="30"/>
        </w:rPr>
        <w:t>，超过用能指标合理值要求</w:t>
      </w:r>
      <w:r w:rsidR="008B3E2E">
        <w:rPr>
          <w:rFonts w:ascii="Times New Roman" w:eastAsia="仿宋" w:hAnsi="Times New Roman" w:hint="eastAsia"/>
          <w:color w:val="000000" w:themeColor="text1"/>
          <w:sz w:val="30"/>
          <w:szCs w:val="30"/>
        </w:rPr>
        <w:t>；</w:t>
      </w:r>
      <w:r w:rsidRPr="00CE16DE">
        <w:rPr>
          <w:rFonts w:ascii="Times New Roman" w:eastAsia="仿宋" w:hAnsi="Times New Roman" w:hint="eastAsia"/>
          <w:color w:val="000000" w:themeColor="text1"/>
          <w:sz w:val="30"/>
          <w:szCs w:val="30"/>
        </w:rPr>
        <w:t>改造后，</w:t>
      </w:r>
      <w:r w:rsidRPr="00CE16DE">
        <w:rPr>
          <w:rFonts w:ascii="Times New Roman" w:eastAsia="仿宋" w:hAnsi="Times New Roman" w:hint="eastAsia"/>
          <w:color w:val="000000" w:themeColor="text1"/>
          <w:sz w:val="30"/>
          <w:szCs w:val="30"/>
        </w:rPr>
        <w:t>2015</w:t>
      </w:r>
      <w:r w:rsidRPr="00CE16DE">
        <w:rPr>
          <w:rFonts w:ascii="Times New Roman" w:eastAsia="仿宋" w:hAnsi="Times New Roman" w:hint="eastAsia"/>
          <w:color w:val="000000" w:themeColor="text1"/>
          <w:sz w:val="30"/>
          <w:szCs w:val="30"/>
        </w:rPr>
        <w:t>年单位面积年综合能耗下降了</w:t>
      </w:r>
      <w:r w:rsidRPr="00CE16DE">
        <w:rPr>
          <w:rFonts w:ascii="Times New Roman" w:eastAsia="仿宋" w:hAnsi="Times New Roman" w:hint="eastAsia"/>
          <w:color w:val="000000" w:themeColor="text1"/>
          <w:sz w:val="30"/>
          <w:szCs w:val="30"/>
        </w:rPr>
        <w:t>34%</w:t>
      </w:r>
      <w:r w:rsidRPr="00CE16DE">
        <w:rPr>
          <w:rFonts w:ascii="Times New Roman" w:eastAsia="仿宋" w:hAnsi="Times New Roman" w:hint="eastAsia"/>
          <w:color w:val="000000" w:themeColor="text1"/>
          <w:sz w:val="30"/>
          <w:szCs w:val="30"/>
        </w:rPr>
        <w:t>，并且</w:t>
      </w:r>
      <w:r w:rsidRPr="00CE16DE">
        <w:rPr>
          <w:rFonts w:ascii="Times New Roman" w:eastAsia="仿宋" w:hAnsi="Times New Roman" w:hint="eastAsia"/>
          <w:color w:val="000000" w:themeColor="text1"/>
          <w:sz w:val="30"/>
          <w:szCs w:val="30"/>
        </w:rPr>
        <w:t>2016</w:t>
      </w:r>
      <w:r w:rsidRPr="00CE16DE">
        <w:rPr>
          <w:rFonts w:ascii="Times New Roman" w:eastAsia="仿宋" w:hAnsi="Times New Roman" w:hint="eastAsia"/>
          <w:color w:val="000000" w:themeColor="text1"/>
          <w:sz w:val="30"/>
          <w:szCs w:val="30"/>
        </w:rPr>
        <w:t>年在全市建筑能耗略有</w:t>
      </w:r>
      <w:r w:rsidR="008B3E2E">
        <w:rPr>
          <w:rFonts w:ascii="Times New Roman" w:eastAsia="仿宋" w:hAnsi="Times New Roman" w:hint="eastAsia"/>
          <w:color w:val="000000" w:themeColor="text1"/>
          <w:sz w:val="30"/>
          <w:szCs w:val="30"/>
        </w:rPr>
        <w:t>上</w:t>
      </w:r>
      <w:r w:rsidRPr="00CE16DE">
        <w:rPr>
          <w:rFonts w:ascii="Times New Roman" w:eastAsia="仿宋" w:hAnsi="Times New Roman" w:hint="eastAsia"/>
          <w:color w:val="000000" w:themeColor="text1"/>
          <w:sz w:val="30"/>
          <w:szCs w:val="30"/>
        </w:rPr>
        <w:t>涨的情况下，该建筑</w:t>
      </w:r>
      <w:r w:rsidRPr="00CE16DE">
        <w:rPr>
          <w:rFonts w:ascii="Times New Roman" w:eastAsia="仿宋" w:hAnsi="Times New Roman" w:hint="eastAsia"/>
          <w:color w:val="000000" w:themeColor="text1"/>
          <w:sz w:val="30"/>
          <w:szCs w:val="30"/>
        </w:rPr>
        <w:t>2016</w:t>
      </w:r>
      <w:r w:rsidRPr="00CE16DE">
        <w:rPr>
          <w:rFonts w:ascii="Times New Roman" w:eastAsia="仿宋" w:hAnsi="Times New Roman" w:hint="eastAsia"/>
          <w:color w:val="000000" w:themeColor="text1"/>
          <w:sz w:val="30"/>
          <w:szCs w:val="30"/>
        </w:rPr>
        <w:t>年单位面积综合能耗较</w:t>
      </w:r>
      <w:r w:rsidRPr="00CE16DE">
        <w:rPr>
          <w:rFonts w:ascii="Times New Roman" w:eastAsia="仿宋" w:hAnsi="Times New Roman" w:hint="eastAsia"/>
          <w:color w:val="000000" w:themeColor="text1"/>
          <w:sz w:val="30"/>
          <w:szCs w:val="30"/>
        </w:rPr>
        <w:t>2015</w:t>
      </w:r>
      <w:r w:rsidRPr="00CE16DE">
        <w:rPr>
          <w:rFonts w:ascii="Times New Roman" w:eastAsia="仿宋" w:hAnsi="Times New Roman" w:hint="eastAsia"/>
          <w:color w:val="000000" w:themeColor="text1"/>
          <w:sz w:val="30"/>
          <w:szCs w:val="30"/>
        </w:rPr>
        <w:t>年仍下降了</w:t>
      </w:r>
      <w:r w:rsidRPr="00CE16DE">
        <w:rPr>
          <w:rFonts w:ascii="Times New Roman" w:eastAsia="仿宋" w:hAnsi="Times New Roman" w:hint="eastAsia"/>
          <w:color w:val="000000" w:themeColor="text1"/>
          <w:sz w:val="30"/>
          <w:szCs w:val="30"/>
        </w:rPr>
        <w:t>2%</w:t>
      </w:r>
      <w:r w:rsidRPr="00CE16DE">
        <w:rPr>
          <w:rFonts w:ascii="Times New Roman" w:eastAsia="仿宋" w:hAnsi="Times New Roman" w:hint="eastAsia"/>
          <w:color w:val="000000" w:themeColor="text1"/>
          <w:sz w:val="30"/>
          <w:szCs w:val="30"/>
        </w:rPr>
        <w:t>，节能效果明显。</w:t>
      </w:r>
    </w:p>
    <w:p w:rsidR="00E96944" w:rsidRDefault="00E96944" w:rsidP="00DB66EC">
      <w:pPr>
        <w:spacing w:beforeLines="100" w:line="360" w:lineRule="auto"/>
        <w:ind w:firstLineChars="200" w:firstLine="600"/>
        <w:rPr>
          <w:rFonts w:ascii="Times New Roman" w:eastAsia="仿宋" w:hAnsi="Times New Roman"/>
          <w:color w:val="000000" w:themeColor="text1"/>
          <w:sz w:val="30"/>
          <w:szCs w:val="30"/>
        </w:rPr>
      </w:pPr>
    </w:p>
    <w:p w:rsidR="009D25A6" w:rsidRPr="00392C5B" w:rsidRDefault="009D25A6" w:rsidP="000A48AD">
      <w:pPr>
        <w:spacing w:beforeLines="100" w:line="360" w:lineRule="auto"/>
        <w:rPr>
          <w:rFonts w:ascii="Times New Roman" w:eastAsia="仿宋" w:hAnsi="Times New Roman"/>
          <w:color w:val="000000" w:themeColor="text1"/>
          <w:sz w:val="30"/>
          <w:szCs w:val="30"/>
        </w:rPr>
      </w:pPr>
    </w:p>
    <w:sectPr w:rsidR="009D25A6" w:rsidRPr="00392C5B" w:rsidSect="00F016E5">
      <w:footerReference w:type="default" r:id="rId38"/>
      <w:pgSz w:w="11906" w:h="16838"/>
      <w:pgMar w:top="1440" w:right="1797" w:bottom="1440" w:left="1797" w:header="851" w:footer="992" w:gutter="0"/>
      <w:pgNumType w:start="18"/>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3BB" w:rsidRDefault="00D633BB" w:rsidP="00B95FD3">
      <w:r>
        <w:separator/>
      </w:r>
    </w:p>
  </w:endnote>
  <w:endnote w:type="continuationSeparator" w:id="1">
    <w:p w:rsidR="00D633BB" w:rsidRDefault="00D633BB" w:rsidP="00B95FD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6EC" w:rsidRDefault="00DB66EC">
    <w:pPr>
      <w:pStyle w:val="af"/>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3" w:rsidRPr="00A851FD" w:rsidRDefault="008D0803" w:rsidP="00A851FD">
    <w:pPr>
      <w:pStyle w:val="af"/>
      <w:jc w:val="center"/>
      <w:rPr>
        <w:rFonts w:ascii="Times New Roman" w:hAnsi="Times New Roman"/>
        <w:sz w:val="20"/>
        <w:szCs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3" w:rsidRPr="00A851FD" w:rsidRDefault="000A48AD" w:rsidP="00A851FD">
    <w:pPr>
      <w:pStyle w:val="af"/>
      <w:jc w:val="center"/>
      <w:rPr>
        <w:rFonts w:ascii="Times New Roman" w:hAnsi="Times New Roman"/>
        <w:sz w:val="20"/>
        <w:szCs w:val="20"/>
      </w:rPr>
    </w:pPr>
    <w:r w:rsidRPr="003E6BC5">
      <w:rPr>
        <w:rFonts w:ascii="Times New Roman" w:hAnsi="Times New Roman"/>
        <w:sz w:val="20"/>
        <w:szCs w:val="20"/>
      </w:rPr>
      <w:fldChar w:fldCharType="begin"/>
    </w:r>
    <w:r w:rsidR="008D0803" w:rsidRPr="003E6BC5">
      <w:rPr>
        <w:rFonts w:ascii="Times New Roman" w:hAnsi="Times New Roman"/>
        <w:sz w:val="20"/>
        <w:szCs w:val="20"/>
      </w:rPr>
      <w:instrText>PAGE   \* MERGEFORMAT</w:instrText>
    </w:r>
    <w:r w:rsidRPr="003E6BC5">
      <w:rPr>
        <w:rFonts w:ascii="Times New Roman" w:hAnsi="Times New Roman"/>
        <w:sz w:val="20"/>
        <w:szCs w:val="20"/>
      </w:rPr>
      <w:fldChar w:fldCharType="separate"/>
    </w:r>
    <w:r w:rsidR="00DB66EC" w:rsidRPr="00DB66EC">
      <w:rPr>
        <w:rFonts w:ascii="Times New Roman" w:hAnsi="Times New Roman"/>
        <w:noProof/>
        <w:sz w:val="20"/>
        <w:szCs w:val="20"/>
        <w:lang w:val="zh-CN"/>
      </w:rPr>
      <w:t>26</w:t>
    </w:r>
    <w:r w:rsidRPr="003E6BC5">
      <w:rPr>
        <w:rFonts w:ascii="Times New Roman" w:hAnsi="Times New Roman"/>
        <w:sz w:val="20"/>
        <w:szCs w:val="20"/>
      </w:rPr>
      <w:fldChar w:fldCharType="end"/>
    </w:r>
    <w:r>
      <w:rPr>
        <w:rFonts w:ascii="Times New Roman" w:hAnsi="Times New Roman"/>
        <w:sz w:val="20"/>
        <w:szCs w:val="20"/>
      </w:rP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3" w:rsidRPr="00070BDF" w:rsidRDefault="000A48AD">
    <w:pPr>
      <w:pStyle w:val="af"/>
      <w:jc w:val="center"/>
      <w:rPr>
        <w:b/>
        <w:caps/>
      </w:rPr>
    </w:pPr>
    <w:r w:rsidRPr="00070BDF">
      <w:rPr>
        <w:b/>
        <w:caps/>
      </w:rPr>
      <w:fldChar w:fldCharType="begin"/>
    </w:r>
    <w:r w:rsidR="008D0803" w:rsidRPr="00070BDF">
      <w:rPr>
        <w:b/>
        <w:caps/>
      </w:rPr>
      <w:instrText>PAGE   \* MERGEFORMAT</w:instrText>
    </w:r>
    <w:r w:rsidRPr="00070BDF">
      <w:rPr>
        <w:b/>
        <w:caps/>
      </w:rPr>
      <w:fldChar w:fldCharType="separate"/>
    </w:r>
    <w:r w:rsidR="008D0803" w:rsidRPr="00BC5494">
      <w:rPr>
        <w:b/>
        <w:caps/>
        <w:noProof/>
        <w:lang w:val="zh-CN"/>
      </w:rPr>
      <w:t>2</w:t>
    </w:r>
    <w:r w:rsidRPr="00070BDF">
      <w:rPr>
        <w:b/>
        <w:caps/>
      </w:rPr>
      <w:fldChar w:fldCharType="end"/>
    </w:r>
  </w:p>
  <w:p w:rsidR="008D0803" w:rsidRDefault="008D0803">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6EC" w:rsidRDefault="00DB66EC">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3" w:rsidRDefault="008D0803" w:rsidP="005A4F1F">
    <w:pPr>
      <w:pStyle w:val="af"/>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208657"/>
      <w:docPartObj>
        <w:docPartGallery w:val="Page Numbers (Bottom of Page)"/>
        <w:docPartUnique/>
      </w:docPartObj>
    </w:sdtPr>
    <w:sdtContent>
      <w:p w:rsidR="008D0803" w:rsidRDefault="000A48AD">
        <w:pPr>
          <w:pStyle w:val="af"/>
          <w:spacing w:before="120" w:after="120"/>
          <w:jc w:val="center"/>
        </w:pPr>
        <w:r>
          <w:fldChar w:fldCharType="begin"/>
        </w:r>
        <w:r w:rsidR="008D0803">
          <w:instrText>PAGE   \* MERGEFORMAT</w:instrText>
        </w:r>
        <w:r>
          <w:fldChar w:fldCharType="separate"/>
        </w:r>
        <w:r w:rsidR="00DB66EC" w:rsidRPr="00DB66EC">
          <w:rPr>
            <w:noProof/>
            <w:lang w:val="zh-CN"/>
          </w:rPr>
          <w:t>1</w:t>
        </w:r>
        <w:r>
          <w:fldChar w:fldCharType="end"/>
        </w:r>
      </w:p>
    </w:sdtContent>
  </w:sdt>
  <w:p w:rsidR="008D0803" w:rsidRPr="00A851FD" w:rsidRDefault="008D0803" w:rsidP="00A851FD">
    <w:pPr>
      <w:pStyle w:val="af"/>
      <w:jc w:val="center"/>
      <w:rPr>
        <w:rFonts w:ascii="Times New Roman" w:hAnsi="Times New Roman"/>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3" w:rsidRDefault="008D0803">
    <w:pPr>
      <w:pStyle w:val="af"/>
      <w:spacing w:before="120" w:after="120"/>
      <w:jc w:val="center"/>
    </w:pPr>
  </w:p>
  <w:p w:rsidR="008D0803" w:rsidRPr="00A851FD" w:rsidRDefault="008D0803" w:rsidP="00A851FD">
    <w:pPr>
      <w:pStyle w:val="af"/>
      <w:jc w:val="center"/>
      <w:rPr>
        <w:rFonts w:ascii="Times New Roman" w:hAnsi="Times New Roman"/>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85808"/>
      <w:docPartObj>
        <w:docPartGallery w:val="Page Numbers (Bottom of Page)"/>
        <w:docPartUnique/>
      </w:docPartObj>
    </w:sdtPr>
    <w:sdtEndPr>
      <w:rPr>
        <w:rFonts w:ascii="Times New Roman" w:hAnsi="Times New Roman"/>
        <w:sz w:val="20"/>
        <w:szCs w:val="20"/>
      </w:rPr>
    </w:sdtEndPr>
    <w:sdtContent>
      <w:p w:rsidR="008D0803" w:rsidRPr="00A851FD" w:rsidRDefault="000A48AD" w:rsidP="00A851FD">
        <w:pPr>
          <w:pStyle w:val="af"/>
          <w:jc w:val="center"/>
          <w:rPr>
            <w:rFonts w:ascii="Times New Roman" w:hAnsi="Times New Roman"/>
            <w:sz w:val="20"/>
            <w:szCs w:val="20"/>
          </w:rPr>
        </w:pPr>
        <w:r w:rsidRPr="003E6BC5">
          <w:rPr>
            <w:rFonts w:ascii="Times New Roman" w:hAnsi="Times New Roman"/>
            <w:sz w:val="20"/>
            <w:szCs w:val="20"/>
          </w:rPr>
          <w:fldChar w:fldCharType="begin"/>
        </w:r>
        <w:r w:rsidR="008D0803" w:rsidRPr="003E6BC5">
          <w:rPr>
            <w:rFonts w:ascii="Times New Roman" w:hAnsi="Times New Roman"/>
            <w:sz w:val="20"/>
            <w:szCs w:val="20"/>
          </w:rPr>
          <w:instrText>PAGE   \* MERGEFORMAT</w:instrText>
        </w:r>
        <w:r w:rsidRPr="003E6BC5">
          <w:rPr>
            <w:rFonts w:ascii="Times New Roman" w:hAnsi="Times New Roman"/>
            <w:sz w:val="20"/>
            <w:szCs w:val="20"/>
          </w:rPr>
          <w:fldChar w:fldCharType="separate"/>
        </w:r>
        <w:r w:rsidR="00DB66EC" w:rsidRPr="00DB66EC">
          <w:rPr>
            <w:rFonts w:ascii="Times New Roman" w:hAnsi="Times New Roman"/>
            <w:noProof/>
            <w:sz w:val="20"/>
            <w:szCs w:val="20"/>
            <w:lang w:val="zh-CN"/>
          </w:rPr>
          <w:t>4</w:t>
        </w:r>
        <w:r w:rsidRPr="003E6BC5">
          <w:rPr>
            <w:rFonts w:ascii="Times New Roman" w:hAnsi="Times New Roman"/>
            <w:sz w:val="20"/>
            <w:szCs w:val="20"/>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3" w:rsidRPr="00A851FD" w:rsidRDefault="008D0803" w:rsidP="00A851FD">
    <w:pPr>
      <w:pStyle w:val="af"/>
      <w:jc w:val="center"/>
      <w:rPr>
        <w:rFonts w:ascii="Times New Roman" w:hAnsi="Times New Roman"/>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172931"/>
      <w:docPartObj>
        <w:docPartGallery w:val="Page Numbers (Bottom of Page)"/>
        <w:docPartUnique/>
      </w:docPartObj>
    </w:sdtPr>
    <w:sdtEndPr>
      <w:rPr>
        <w:rFonts w:ascii="Times New Roman" w:hAnsi="Times New Roman"/>
        <w:sz w:val="20"/>
        <w:szCs w:val="20"/>
      </w:rPr>
    </w:sdtEndPr>
    <w:sdtContent>
      <w:p w:rsidR="008D0803" w:rsidRPr="00A851FD" w:rsidRDefault="000A48AD" w:rsidP="00A851FD">
        <w:pPr>
          <w:pStyle w:val="af"/>
          <w:jc w:val="center"/>
          <w:rPr>
            <w:rFonts w:ascii="Times New Roman" w:hAnsi="Times New Roman"/>
            <w:sz w:val="20"/>
            <w:szCs w:val="20"/>
          </w:rPr>
        </w:pPr>
        <w:r w:rsidRPr="003E6BC5">
          <w:rPr>
            <w:rFonts w:ascii="Times New Roman" w:hAnsi="Times New Roman"/>
            <w:sz w:val="20"/>
            <w:szCs w:val="20"/>
          </w:rPr>
          <w:fldChar w:fldCharType="begin"/>
        </w:r>
        <w:r w:rsidR="008D0803" w:rsidRPr="003E6BC5">
          <w:rPr>
            <w:rFonts w:ascii="Times New Roman" w:hAnsi="Times New Roman"/>
            <w:sz w:val="20"/>
            <w:szCs w:val="20"/>
          </w:rPr>
          <w:instrText>PAGE   \* MERGEFORMAT</w:instrText>
        </w:r>
        <w:r w:rsidRPr="003E6BC5">
          <w:rPr>
            <w:rFonts w:ascii="Times New Roman" w:hAnsi="Times New Roman"/>
            <w:sz w:val="20"/>
            <w:szCs w:val="20"/>
          </w:rPr>
          <w:fldChar w:fldCharType="separate"/>
        </w:r>
        <w:r w:rsidR="00DB66EC" w:rsidRPr="00DB66EC">
          <w:rPr>
            <w:rFonts w:ascii="Times New Roman" w:hAnsi="Times New Roman"/>
            <w:noProof/>
            <w:sz w:val="20"/>
            <w:szCs w:val="20"/>
            <w:lang w:val="zh-CN"/>
          </w:rPr>
          <w:t>16</w:t>
        </w:r>
        <w:r w:rsidRPr="003E6BC5">
          <w:rPr>
            <w:rFonts w:ascii="Times New Roman" w:hAnsi="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3BB" w:rsidRDefault="00D633BB" w:rsidP="00B95FD3">
      <w:r>
        <w:separator/>
      </w:r>
    </w:p>
  </w:footnote>
  <w:footnote w:type="continuationSeparator" w:id="1">
    <w:p w:rsidR="00D633BB" w:rsidRDefault="00D633BB" w:rsidP="00B95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6EC" w:rsidRDefault="00DB66E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6EC" w:rsidRDefault="00DB66EC">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6EC" w:rsidRDefault="00DB66E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630" w:firstLine="0"/>
      </w:pPr>
      <w:rPr>
        <w:rFonts w:ascii="黑体" w:eastAsia="黑体" w:hAnsi="Times New Roman" w:hint="eastAsia"/>
        <w:b w:val="0"/>
        <w:i w:val="0"/>
        <w:sz w:val="21"/>
      </w:rPr>
    </w:lvl>
    <w:lvl w:ilvl="3">
      <w:start w:val="1"/>
      <w:numFmt w:val="decimal"/>
      <w:suff w:val="nothing"/>
      <w:lvlText w:val="%1.%2.%3.%4　"/>
      <w:lvlJc w:val="left"/>
      <w:pPr>
        <w:ind w:left="105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04F83EDB"/>
    <w:multiLevelType w:val="hybridMultilevel"/>
    <w:tmpl w:val="EC1EDF88"/>
    <w:lvl w:ilvl="0" w:tplc="9650F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9102AD"/>
    <w:multiLevelType w:val="multilevel"/>
    <w:tmpl w:val="755EF890"/>
    <w:lvl w:ilvl="0">
      <w:start w:val="1"/>
      <w:numFmt w:val="decimal"/>
      <w:lvlRestart w:val="0"/>
      <w:pStyle w:val="a"/>
      <w:suff w:val="nothing"/>
      <w:lvlText w:val="注%1："/>
      <w:lvlJc w:val="left"/>
      <w:pPr>
        <w:ind w:left="811" w:hanging="448"/>
      </w:pPr>
      <w:rPr>
        <w:rFonts w:ascii="黑体" w:eastAsia="黑体" w:hAnsi="Times New Roman" w:hint="eastAsia"/>
        <w:b w:val="0"/>
        <w:i w:val="0"/>
        <w:spacing w:val="0"/>
        <w:w w:val="100"/>
        <w:sz w:val="18"/>
        <w:lang w:val="en-US"/>
      </w:rPr>
    </w:lvl>
    <w:lvl w:ilvl="1">
      <w:start w:val="1"/>
      <w:numFmt w:val="lowerLetter"/>
      <w:pStyle w:val="a0"/>
      <w:lvlText w:val="%2)"/>
      <w:lvlJc w:val="left"/>
      <w:pPr>
        <w:tabs>
          <w:tab w:val="num" w:pos="0"/>
        </w:tabs>
        <w:ind w:left="992" w:hanging="629"/>
      </w:pPr>
      <w:rPr>
        <w:rFonts w:ascii="黑体" w:eastAsia="黑体" w:hAnsi="Times New Roman" w:hint="eastAsia"/>
        <w:b w:val="0"/>
        <w:i w:val="0"/>
        <w:snapToGrid/>
        <w:spacing w:val="0"/>
        <w:w w:val="100"/>
        <w:kern w:val="21"/>
        <w:sz w:val="21"/>
      </w:rPr>
    </w:lvl>
    <w:lvl w:ilvl="2">
      <w:start w:val="1"/>
      <w:numFmt w:val="lowerRoman"/>
      <w:lvlText w:val="%3."/>
      <w:lvlJc w:val="right"/>
      <w:pPr>
        <w:tabs>
          <w:tab w:val="num" w:pos="0"/>
        </w:tabs>
        <w:ind w:left="992" w:hanging="629"/>
      </w:pPr>
      <w:rPr>
        <w:rFonts w:ascii="黑体" w:eastAsia="黑体" w:hAnsi="Times New Roman" w:hint="eastAsia"/>
        <w:b w:val="0"/>
        <w:i w:val="0"/>
        <w:sz w:val="21"/>
      </w:rPr>
    </w:lvl>
    <w:lvl w:ilvl="3">
      <w:start w:val="1"/>
      <w:numFmt w:val="decimal"/>
      <w:pStyle w:val="a1"/>
      <w:lvlText w:val="%4."/>
      <w:lvlJc w:val="left"/>
      <w:pPr>
        <w:tabs>
          <w:tab w:val="num" w:pos="0"/>
        </w:tabs>
        <w:ind w:left="992" w:hanging="629"/>
      </w:pPr>
      <w:rPr>
        <w:rFonts w:ascii="黑体" w:eastAsia="黑体" w:hAnsi="Times New Roman" w:hint="eastAsia"/>
        <w:b w:val="0"/>
        <w:i w:val="0"/>
        <w:sz w:val="21"/>
      </w:rPr>
    </w:lvl>
    <w:lvl w:ilvl="4">
      <w:start w:val="1"/>
      <w:numFmt w:val="lowerLetter"/>
      <w:lvlText w:val="%5)"/>
      <w:lvlJc w:val="left"/>
      <w:pPr>
        <w:tabs>
          <w:tab w:val="num" w:pos="0"/>
        </w:tabs>
        <w:ind w:left="992" w:hanging="629"/>
      </w:pPr>
      <w:rPr>
        <w:rFonts w:ascii="黑体" w:eastAsia="黑体" w:hAnsi="Times New Roman" w:hint="eastAsia"/>
        <w:b w:val="0"/>
        <w:i w:val="0"/>
        <w:sz w:val="21"/>
      </w:rPr>
    </w:lvl>
    <w:lvl w:ilvl="5">
      <w:start w:val="1"/>
      <w:numFmt w:val="lowerRoman"/>
      <w:lvlText w:val="%6."/>
      <w:lvlJc w:val="right"/>
      <w:pPr>
        <w:tabs>
          <w:tab w:val="num" w:pos="0"/>
        </w:tabs>
        <w:ind w:left="992" w:hanging="629"/>
      </w:pPr>
      <w:rPr>
        <w:rFonts w:ascii="黑体" w:eastAsia="黑体" w:hAnsi="Times New Roman" w:hint="eastAsia"/>
        <w:b w:val="0"/>
        <w:i w:val="0"/>
        <w:sz w:val="21"/>
      </w:rPr>
    </w:lvl>
    <w:lvl w:ilvl="6">
      <w:start w:val="1"/>
      <w:numFmt w:val="decimal"/>
      <w:lvlText w:val="%7."/>
      <w:lvlJc w:val="left"/>
      <w:pPr>
        <w:tabs>
          <w:tab w:val="num" w:pos="0"/>
        </w:tabs>
        <w:ind w:left="992" w:hanging="629"/>
      </w:pPr>
      <w:rPr>
        <w:rFonts w:ascii="黑体" w:eastAsia="黑体" w:hAnsi="Times New Roman" w:hint="eastAsia"/>
        <w:b w:val="0"/>
        <w:i w:val="0"/>
        <w:sz w:val="21"/>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A4E04DC"/>
    <w:multiLevelType w:val="hybridMultilevel"/>
    <w:tmpl w:val="248EE5F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562F4E"/>
    <w:multiLevelType w:val="hybridMultilevel"/>
    <w:tmpl w:val="0846C77E"/>
    <w:lvl w:ilvl="0" w:tplc="3564AE58">
      <w:start w:val="1"/>
      <w:numFmt w:val="lowerLetter"/>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1D8D704D"/>
    <w:multiLevelType w:val="hybridMultilevel"/>
    <w:tmpl w:val="5A862F26"/>
    <w:lvl w:ilvl="0" w:tplc="CBF89E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C91163"/>
    <w:multiLevelType w:val="multilevel"/>
    <w:tmpl w:val="855EE140"/>
    <w:lvl w:ilvl="0">
      <w:start w:val="1"/>
      <w:numFmt w:val="decimal"/>
      <w:pStyle w:val="a2"/>
      <w:suff w:val="nothing"/>
      <w:lvlText w:val="%1　"/>
      <w:lvlJc w:val="left"/>
      <w:pPr>
        <w:ind w:left="709" w:firstLine="0"/>
      </w:pPr>
      <w:rPr>
        <w:rFonts w:ascii="黑体" w:eastAsia="黑体" w:hAnsi="Times New Roman" w:hint="eastAsia"/>
        <w:b w:val="0"/>
        <w:i w:val="0"/>
        <w:sz w:val="21"/>
        <w:szCs w:val="21"/>
      </w:rPr>
    </w:lvl>
    <w:lvl w:ilvl="1">
      <w:start w:val="1"/>
      <w:numFmt w:val="decimal"/>
      <w:pStyle w:val="a3"/>
      <w:suff w:val="nothing"/>
      <w:lvlText w:val="%1.%2　"/>
      <w:lvlJc w:val="left"/>
      <w:pPr>
        <w:ind w:left="1276"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4"/>
      <w:suff w:val="nothing"/>
      <w:lvlText w:val="%1.%2.%3　"/>
      <w:lvlJc w:val="left"/>
      <w:pPr>
        <w:ind w:left="7797" w:firstLine="0"/>
      </w:pPr>
      <w:rPr>
        <w:rFonts w:ascii="黑体" w:eastAsia="黑体" w:hAnsi="Times New Roman" w:hint="eastAsia"/>
        <w:b w:val="0"/>
        <w:i w:val="0"/>
        <w:sz w:val="21"/>
      </w:rPr>
    </w:lvl>
    <w:lvl w:ilvl="3">
      <w:start w:val="1"/>
      <w:numFmt w:val="decimal"/>
      <w:pStyle w:val="a5"/>
      <w:suff w:val="nothing"/>
      <w:lvlText w:val="%1.%2.%3.%4　"/>
      <w:lvlJc w:val="left"/>
      <w:pPr>
        <w:ind w:left="426"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4C6220F7"/>
    <w:multiLevelType w:val="hybridMultilevel"/>
    <w:tmpl w:val="BFD6ECAA"/>
    <w:lvl w:ilvl="0" w:tplc="975E7360">
      <w:start w:val="1"/>
      <w:numFmt w:val="decimal"/>
      <w:lvlText w:val="%1、"/>
      <w:lvlJc w:val="left"/>
      <w:pPr>
        <w:ind w:left="460" w:hanging="4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58951EB1"/>
    <w:multiLevelType w:val="hybridMultilevel"/>
    <w:tmpl w:val="D06C40EE"/>
    <w:lvl w:ilvl="0" w:tplc="FEE8D3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6260FA"/>
    <w:multiLevelType w:val="multilevel"/>
    <w:tmpl w:val="4F2011E8"/>
    <w:lvl w:ilvl="0">
      <w:start w:val="1"/>
      <w:numFmt w:val="decimal"/>
      <w:pStyle w:val="a8"/>
      <w:suff w:val="nothing"/>
      <w:lvlText w:val="表%1　"/>
      <w:lvlJc w:val="left"/>
      <w:pPr>
        <w:ind w:left="-368" w:firstLine="0"/>
      </w:pPr>
      <w:rPr>
        <w:rFonts w:ascii="黑体" w:eastAsia="黑体" w:hAnsi="Times New Roman" w:hint="eastAsia"/>
        <w:b w:val="0"/>
        <w:i w:val="0"/>
        <w:sz w:val="21"/>
      </w:rPr>
    </w:lvl>
    <w:lvl w:ilvl="1">
      <w:start w:val="1"/>
      <w:numFmt w:val="decimal"/>
      <w:lvlText w:val="%1.%2"/>
      <w:lvlJc w:val="left"/>
      <w:pPr>
        <w:tabs>
          <w:tab w:val="num" w:pos="-2920"/>
        </w:tabs>
        <w:ind w:left="-2920" w:hanging="567"/>
      </w:pPr>
      <w:rPr>
        <w:rFonts w:hint="eastAsia"/>
      </w:rPr>
    </w:lvl>
    <w:lvl w:ilvl="2">
      <w:start w:val="1"/>
      <w:numFmt w:val="decimal"/>
      <w:lvlText w:val="%1.%2.%3"/>
      <w:lvlJc w:val="left"/>
      <w:pPr>
        <w:tabs>
          <w:tab w:val="num" w:pos="-2494"/>
        </w:tabs>
        <w:ind w:left="-2494" w:hanging="567"/>
      </w:pPr>
      <w:rPr>
        <w:rFonts w:hint="eastAsia"/>
      </w:rPr>
    </w:lvl>
    <w:lvl w:ilvl="3">
      <w:start w:val="1"/>
      <w:numFmt w:val="decimal"/>
      <w:lvlText w:val="%1.%2.%3.%4"/>
      <w:lvlJc w:val="left"/>
      <w:pPr>
        <w:tabs>
          <w:tab w:val="num" w:pos="-1928"/>
        </w:tabs>
        <w:ind w:left="-1928" w:hanging="708"/>
      </w:pPr>
      <w:rPr>
        <w:rFonts w:hint="eastAsia"/>
      </w:rPr>
    </w:lvl>
    <w:lvl w:ilvl="4">
      <w:start w:val="1"/>
      <w:numFmt w:val="decimal"/>
      <w:lvlText w:val="%1.%2.%3.%4.%5"/>
      <w:lvlJc w:val="left"/>
      <w:pPr>
        <w:tabs>
          <w:tab w:val="num" w:pos="-1361"/>
        </w:tabs>
        <w:ind w:left="-1361" w:hanging="850"/>
      </w:pPr>
      <w:rPr>
        <w:rFonts w:hint="eastAsia"/>
      </w:rPr>
    </w:lvl>
    <w:lvl w:ilvl="5">
      <w:start w:val="1"/>
      <w:numFmt w:val="decimal"/>
      <w:lvlText w:val="%1.%2.%3.%4.%5.%6"/>
      <w:lvlJc w:val="left"/>
      <w:pPr>
        <w:tabs>
          <w:tab w:val="num" w:pos="-652"/>
        </w:tabs>
        <w:ind w:left="-652" w:hanging="1134"/>
      </w:pPr>
      <w:rPr>
        <w:rFonts w:hint="eastAsia"/>
      </w:rPr>
    </w:lvl>
    <w:lvl w:ilvl="6">
      <w:start w:val="1"/>
      <w:numFmt w:val="decimal"/>
      <w:lvlText w:val="%1.%2.%3.%4.%5.%6.%7"/>
      <w:lvlJc w:val="left"/>
      <w:pPr>
        <w:tabs>
          <w:tab w:val="num" w:pos="-85"/>
        </w:tabs>
        <w:ind w:left="-85" w:hanging="1276"/>
      </w:pPr>
      <w:rPr>
        <w:rFonts w:hint="eastAsia"/>
      </w:rPr>
    </w:lvl>
    <w:lvl w:ilvl="7">
      <w:start w:val="1"/>
      <w:numFmt w:val="decimal"/>
      <w:lvlText w:val="%1.%2.%3.%4.%5.%6.%7.%8"/>
      <w:lvlJc w:val="left"/>
      <w:pPr>
        <w:tabs>
          <w:tab w:val="num" w:pos="482"/>
        </w:tabs>
        <w:ind w:left="482" w:hanging="1418"/>
      </w:pPr>
      <w:rPr>
        <w:rFonts w:hint="eastAsia"/>
      </w:rPr>
    </w:lvl>
    <w:lvl w:ilvl="8">
      <w:start w:val="1"/>
      <w:numFmt w:val="decimal"/>
      <w:lvlText w:val="%1.%2.%3.%4.%5.%6.%7.%8.%9"/>
      <w:lvlJc w:val="left"/>
      <w:pPr>
        <w:tabs>
          <w:tab w:val="num" w:pos="1190"/>
        </w:tabs>
        <w:ind w:left="1190" w:hanging="1700"/>
      </w:pPr>
      <w:rPr>
        <w:rFonts w:hint="eastAsia"/>
      </w:rPr>
    </w:lvl>
  </w:abstractNum>
  <w:abstractNum w:abstractNumId="10">
    <w:nsid w:val="6D83162F"/>
    <w:multiLevelType w:val="hybridMultilevel"/>
    <w:tmpl w:val="A84C0DCA"/>
    <w:lvl w:ilvl="0" w:tplc="505C49AC">
      <w:start w:val="89"/>
      <w:numFmt w:val="decimal"/>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3"/>
  </w:num>
  <w:num w:numId="4">
    <w:abstractNumId w:val="10"/>
  </w:num>
  <w:num w:numId="5">
    <w:abstractNumId w:val="4"/>
  </w:num>
  <w:num w:numId="6">
    <w:abstractNumId w:val="2"/>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D87"/>
    <w:rsid w:val="00002441"/>
    <w:rsid w:val="00002533"/>
    <w:rsid w:val="000029EB"/>
    <w:rsid w:val="000103A3"/>
    <w:rsid w:val="00012634"/>
    <w:rsid w:val="00014A45"/>
    <w:rsid w:val="000153F7"/>
    <w:rsid w:val="00016109"/>
    <w:rsid w:val="00020980"/>
    <w:rsid w:val="00021DA9"/>
    <w:rsid w:val="00024802"/>
    <w:rsid w:val="000255FB"/>
    <w:rsid w:val="00026AD6"/>
    <w:rsid w:val="00027714"/>
    <w:rsid w:val="00027DDC"/>
    <w:rsid w:val="00030119"/>
    <w:rsid w:val="00031582"/>
    <w:rsid w:val="00034D9C"/>
    <w:rsid w:val="00035663"/>
    <w:rsid w:val="00036F3A"/>
    <w:rsid w:val="000371BB"/>
    <w:rsid w:val="000402DF"/>
    <w:rsid w:val="0004435E"/>
    <w:rsid w:val="0004456B"/>
    <w:rsid w:val="00053ECE"/>
    <w:rsid w:val="00053F16"/>
    <w:rsid w:val="000543DF"/>
    <w:rsid w:val="000577E6"/>
    <w:rsid w:val="00057CCE"/>
    <w:rsid w:val="00062126"/>
    <w:rsid w:val="00063D34"/>
    <w:rsid w:val="00065415"/>
    <w:rsid w:val="00067D3C"/>
    <w:rsid w:val="00070BDF"/>
    <w:rsid w:val="00072550"/>
    <w:rsid w:val="00073A21"/>
    <w:rsid w:val="000746A2"/>
    <w:rsid w:val="00074D83"/>
    <w:rsid w:val="000750DD"/>
    <w:rsid w:val="00075F99"/>
    <w:rsid w:val="000769AB"/>
    <w:rsid w:val="00076A20"/>
    <w:rsid w:val="00077A23"/>
    <w:rsid w:val="000801F7"/>
    <w:rsid w:val="000813E5"/>
    <w:rsid w:val="000816E3"/>
    <w:rsid w:val="00085899"/>
    <w:rsid w:val="00085EC7"/>
    <w:rsid w:val="00087749"/>
    <w:rsid w:val="00092C49"/>
    <w:rsid w:val="000934A9"/>
    <w:rsid w:val="000937CF"/>
    <w:rsid w:val="0009383B"/>
    <w:rsid w:val="000949C2"/>
    <w:rsid w:val="000954E8"/>
    <w:rsid w:val="000965E8"/>
    <w:rsid w:val="00096673"/>
    <w:rsid w:val="00096E4F"/>
    <w:rsid w:val="00096FD6"/>
    <w:rsid w:val="00097F4D"/>
    <w:rsid w:val="000A0C15"/>
    <w:rsid w:val="000A2B67"/>
    <w:rsid w:val="000A31E7"/>
    <w:rsid w:val="000A4651"/>
    <w:rsid w:val="000A48AD"/>
    <w:rsid w:val="000A549E"/>
    <w:rsid w:val="000A64C3"/>
    <w:rsid w:val="000A66B8"/>
    <w:rsid w:val="000A7EEB"/>
    <w:rsid w:val="000B0DBD"/>
    <w:rsid w:val="000B2D95"/>
    <w:rsid w:val="000B43F9"/>
    <w:rsid w:val="000B7D24"/>
    <w:rsid w:val="000C1565"/>
    <w:rsid w:val="000C6A95"/>
    <w:rsid w:val="000C6B0B"/>
    <w:rsid w:val="000C7815"/>
    <w:rsid w:val="000D2C78"/>
    <w:rsid w:val="000D48DA"/>
    <w:rsid w:val="000E2810"/>
    <w:rsid w:val="000E3FC9"/>
    <w:rsid w:val="000F3FD0"/>
    <w:rsid w:val="000F4A48"/>
    <w:rsid w:val="000F5E86"/>
    <w:rsid w:val="0010169B"/>
    <w:rsid w:val="00105CCB"/>
    <w:rsid w:val="00105EAE"/>
    <w:rsid w:val="00106999"/>
    <w:rsid w:val="001104A3"/>
    <w:rsid w:val="001118BD"/>
    <w:rsid w:val="00113C77"/>
    <w:rsid w:val="00113E58"/>
    <w:rsid w:val="00115DDD"/>
    <w:rsid w:val="00116F04"/>
    <w:rsid w:val="001201BF"/>
    <w:rsid w:val="00122F13"/>
    <w:rsid w:val="001230CE"/>
    <w:rsid w:val="001246DB"/>
    <w:rsid w:val="00124E71"/>
    <w:rsid w:val="00130F34"/>
    <w:rsid w:val="0013124D"/>
    <w:rsid w:val="00131AAA"/>
    <w:rsid w:val="00136961"/>
    <w:rsid w:val="0013724D"/>
    <w:rsid w:val="00140C81"/>
    <w:rsid w:val="00143448"/>
    <w:rsid w:val="001445D3"/>
    <w:rsid w:val="00145D19"/>
    <w:rsid w:val="00151311"/>
    <w:rsid w:val="00151564"/>
    <w:rsid w:val="00151B54"/>
    <w:rsid w:val="00151BCC"/>
    <w:rsid w:val="0015416A"/>
    <w:rsid w:val="001542A1"/>
    <w:rsid w:val="00156B37"/>
    <w:rsid w:val="00160EDE"/>
    <w:rsid w:val="001654A8"/>
    <w:rsid w:val="0017008A"/>
    <w:rsid w:val="001701E5"/>
    <w:rsid w:val="001717D9"/>
    <w:rsid w:val="00173283"/>
    <w:rsid w:val="00176169"/>
    <w:rsid w:val="0017789F"/>
    <w:rsid w:val="0017794D"/>
    <w:rsid w:val="001813C2"/>
    <w:rsid w:val="00184D56"/>
    <w:rsid w:val="00185E38"/>
    <w:rsid w:val="0018734E"/>
    <w:rsid w:val="00187ABB"/>
    <w:rsid w:val="00196FB2"/>
    <w:rsid w:val="00197BFC"/>
    <w:rsid w:val="001A01B1"/>
    <w:rsid w:val="001A09C3"/>
    <w:rsid w:val="001A11EB"/>
    <w:rsid w:val="001A1674"/>
    <w:rsid w:val="001A1F79"/>
    <w:rsid w:val="001A21AD"/>
    <w:rsid w:val="001A7FCA"/>
    <w:rsid w:val="001B11FD"/>
    <w:rsid w:val="001B19A9"/>
    <w:rsid w:val="001B1AC4"/>
    <w:rsid w:val="001B2B6D"/>
    <w:rsid w:val="001B3F78"/>
    <w:rsid w:val="001B400C"/>
    <w:rsid w:val="001B6580"/>
    <w:rsid w:val="001B6764"/>
    <w:rsid w:val="001B68BA"/>
    <w:rsid w:val="001B74E1"/>
    <w:rsid w:val="001C069E"/>
    <w:rsid w:val="001C251D"/>
    <w:rsid w:val="001C49D2"/>
    <w:rsid w:val="001C568F"/>
    <w:rsid w:val="001C5902"/>
    <w:rsid w:val="001C5E34"/>
    <w:rsid w:val="001C77BD"/>
    <w:rsid w:val="001D09B9"/>
    <w:rsid w:val="001D1E24"/>
    <w:rsid w:val="001D324C"/>
    <w:rsid w:val="001D46A4"/>
    <w:rsid w:val="001D5E14"/>
    <w:rsid w:val="001D613A"/>
    <w:rsid w:val="001D7973"/>
    <w:rsid w:val="001D7EAC"/>
    <w:rsid w:val="001E395F"/>
    <w:rsid w:val="001E3AA7"/>
    <w:rsid w:val="001E3AE3"/>
    <w:rsid w:val="001E46D6"/>
    <w:rsid w:val="001E6040"/>
    <w:rsid w:val="001E6869"/>
    <w:rsid w:val="001E7F97"/>
    <w:rsid w:val="001F6123"/>
    <w:rsid w:val="00204F0B"/>
    <w:rsid w:val="002054BD"/>
    <w:rsid w:val="002108DF"/>
    <w:rsid w:val="0021525C"/>
    <w:rsid w:val="002152D7"/>
    <w:rsid w:val="00216DBB"/>
    <w:rsid w:val="0022202A"/>
    <w:rsid w:val="00222897"/>
    <w:rsid w:val="00223975"/>
    <w:rsid w:val="00223998"/>
    <w:rsid w:val="00226D51"/>
    <w:rsid w:val="00227A6B"/>
    <w:rsid w:val="0023155E"/>
    <w:rsid w:val="00234F99"/>
    <w:rsid w:val="00235FB7"/>
    <w:rsid w:val="00240297"/>
    <w:rsid w:val="00242263"/>
    <w:rsid w:val="0024533F"/>
    <w:rsid w:val="0024562C"/>
    <w:rsid w:val="00246B65"/>
    <w:rsid w:val="002501E6"/>
    <w:rsid w:val="0025197A"/>
    <w:rsid w:val="002521BD"/>
    <w:rsid w:val="0025304C"/>
    <w:rsid w:val="002566B2"/>
    <w:rsid w:val="00257607"/>
    <w:rsid w:val="002640E3"/>
    <w:rsid w:val="0026697B"/>
    <w:rsid w:val="00266FD5"/>
    <w:rsid w:val="00270A67"/>
    <w:rsid w:val="00272C6D"/>
    <w:rsid w:val="00273AAE"/>
    <w:rsid w:val="0027435B"/>
    <w:rsid w:val="00275001"/>
    <w:rsid w:val="0027616F"/>
    <w:rsid w:val="0027653B"/>
    <w:rsid w:val="0027744A"/>
    <w:rsid w:val="00277F6F"/>
    <w:rsid w:val="00284036"/>
    <w:rsid w:val="002842D7"/>
    <w:rsid w:val="00284F41"/>
    <w:rsid w:val="0028597D"/>
    <w:rsid w:val="00285F3D"/>
    <w:rsid w:val="00286114"/>
    <w:rsid w:val="002863C5"/>
    <w:rsid w:val="0028672D"/>
    <w:rsid w:val="0029022F"/>
    <w:rsid w:val="00290624"/>
    <w:rsid w:val="00295238"/>
    <w:rsid w:val="00295241"/>
    <w:rsid w:val="0029572F"/>
    <w:rsid w:val="002A02AC"/>
    <w:rsid w:val="002A1116"/>
    <w:rsid w:val="002A1E8F"/>
    <w:rsid w:val="002A2A62"/>
    <w:rsid w:val="002A2E67"/>
    <w:rsid w:val="002A4406"/>
    <w:rsid w:val="002A4873"/>
    <w:rsid w:val="002A4BE7"/>
    <w:rsid w:val="002A6CBC"/>
    <w:rsid w:val="002A7DFF"/>
    <w:rsid w:val="002B177F"/>
    <w:rsid w:val="002B374C"/>
    <w:rsid w:val="002B44A1"/>
    <w:rsid w:val="002B4853"/>
    <w:rsid w:val="002B50B2"/>
    <w:rsid w:val="002C39D3"/>
    <w:rsid w:val="002C459F"/>
    <w:rsid w:val="002C63B3"/>
    <w:rsid w:val="002C6CB3"/>
    <w:rsid w:val="002C6EDB"/>
    <w:rsid w:val="002C6F16"/>
    <w:rsid w:val="002C71E6"/>
    <w:rsid w:val="002D3145"/>
    <w:rsid w:val="002D6B8C"/>
    <w:rsid w:val="002E0364"/>
    <w:rsid w:val="002E0A54"/>
    <w:rsid w:val="002E161A"/>
    <w:rsid w:val="002E4AC6"/>
    <w:rsid w:val="002E7D3C"/>
    <w:rsid w:val="002F0109"/>
    <w:rsid w:val="002F08E4"/>
    <w:rsid w:val="002F1519"/>
    <w:rsid w:val="002F1827"/>
    <w:rsid w:val="002F1941"/>
    <w:rsid w:val="002F35D1"/>
    <w:rsid w:val="002F43F2"/>
    <w:rsid w:val="003003C6"/>
    <w:rsid w:val="00303684"/>
    <w:rsid w:val="00303BCE"/>
    <w:rsid w:val="00304C93"/>
    <w:rsid w:val="003070EF"/>
    <w:rsid w:val="00311296"/>
    <w:rsid w:val="00311D36"/>
    <w:rsid w:val="00312FDE"/>
    <w:rsid w:val="0031319C"/>
    <w:rsid w:val="003136CA"/>
    <w:rsid w:val="00315E0A"/>
    <w:rsid w:val="00316884"/>
    <w:rsid w:val="0031772C"/>
    <w:rsid w:val="003206B0"/>
    <w:rsid w:val="003207A8"/>
    <w:rsid w:val="00323858"/>
    <w:rsid w:val="003238DC"/>
    <w:rsid w:val="00327592"/>
    <w:rsid w:val="00327D36"/>
    <w:rsid w:val="003308F6"/>
    <w:rsid w:val="0033580D"/>
    <w:rsid w:val="00337412"/>
    <w:rsid w:val="0034099E"/>
    <w:rsid w:val="003425E8"/>
    <w:rsid w:val="00343E44"/>
    <w:rsid w:val="00350CC9"/>
    <w:rsid w:val="00350E25"/>
    <w:rsid w:val="00351266"/>
    <w:rsid w:val="00351683"/>
    <w:rsid w:val="00351D97"/>
    <w:rsid w:val="0036010D"/>
    <w:rsid w:val="00360F1B"/>
    <w:rsid w:val="00364713"/>
    <w:rsid w:val="0036504D"/>
    <w:rsid w:val="0036698B"/>
    <w:rsid w:val="00367BD6"/>
    <w:rsid w:val="003701BB"/>
    <w:rsid w:val="00370B4B"/>
    <w:rsid w:val="00370DEF"/>
    <w:rsid w:val="00370E87"/>
    <w:rsid w:val="003711FA"/>
    <w:rsid w:val="00372B7C"/>
    <w:rsid w:val="00374A4D"/>
    <w:rsid w:val="0038124E"/>
    <w:rsid w:val="00382A95"/>
    <w:rsid w:val="00383744"/>
    <w:rsid w:val="0038375E"/>
    <w:rsid w:val="00383E54"/>
    <w:rsid w:val="00384F53"/>
    <w:rsid w:val="003852F2"/>
    <w:rsid w:val="0038552C"/>
    <w:rsid w:val="00385A3E"/>
    <w:rsid w:val="003866A7"/>
    <w:rsid w:val="00387E74"/>
    <w:rsid w:val="00390399"/>
    <w:rsid w:val="00390B96"/>
    <w:rsid w:val="00392C5B"/>
    <w:rsid w:val="00394861"/>
    <w:rsid w:val="003964AC"/>
    <w:rsid w:val="00396C07"/>
    <w:rsid w:val="00397403"/>
    <w:rsid w:val="003A01B8"/>
    <w:rsid w:val="003A1FA6"/>
    <w:rsid w:val="003A26AD"/>
    <w:rsid w:val="003A2DB0"/>
    <w:rsid w:val="003A7DBE"/>
    <w:rsid w:val="003B28DC"/>
    <w:rsid w:val="003B2A5F"/>
    <w:rsid w:val="003B312E"/>
    <w:rsid w:val="003B37BE"/>
    <w:rsid w:val="003B484B"/>
    <w:rsid w:val="003B5598"/>
    <w:rsid w:val="003C09DE"/>
    <w:rsid w:val="003C466C"/>
    <w:rsid w:val="003C5058"/>
    <w:rsid w:val="003C54AC"/>
    <w:rsid w:val="003C68A2"/>
    <w:rsid w:val="003C72D6"/>
    <w:rsid w:val="003C7B22"/>
    <w:rsid w:val="003C7EBC"/>
    <w:rsid w:val="003D040A"/>
    <w:rsid w:val="003D167A"/>
    <w:rsid w:val="003D334A"/>
    <w:rsid w:val="003D4034"/>
    <w:rsid w:val="003D4234"/>
    <w:rsid w:val="003D45C1"/>
    <w:rsid w:val="003D5F1C"/>
    <w:rsid w:val="003D7C14"/>
    <w:rsid w:val="003E28EF"/>
    <w:rsid w:val="003E443E"/>
    <w:rsid w:val="003E5FE3"/>
    <w:rsid w:val="003E6BC5"/>
    <w:rsid w:val="003F1DBC"/>
    <w:rsid w:val="003F48B8"/>
    <w:rsid w:val="003F7824"/>
    <w:rsid w:val="003F7AA0"/>
    <w:rsid w:val="004020A9"/>
    <w:rsid w:val="00403648"/>
    <w:rsid w:val="00403F64"/>
    <w:rsid w:val="00415053"/>
    <w:rsid w:val="00417459"/>
    <w:rsid w:val="00417F02"/>
    <w:rsid w:val="00417F28"/>
    <w:rsid w:val="00423883"/>
    <w:rsid w:val="00424FBA"/>
    <w:rsid w:val="004259BB"/>
    <w:rsid w:val="00426E82"/>
    <w:rsid w:val="004322F2"/>
    <w:rsid w:val="00432358"/>
    <w:rsid w:val="00434DED"/>
    <w:rsid w:val="00443EEC"/>
    <w:rsid w:val="004441F2"/>
    <w:rsid w:val="00445BF5"/>
    <w:rsid w:val="0044713D"/>
    <w:rsid w:val="00447492"/>
    <w:rsid w:val="00452C39"/>
    <w:rsid w:val="00453C77"/>
    <w:rsid w:val="0045485B"/>
    <w:rsid w:val="00454C68"/>
    <w:rsid w:val="00456B00"/>
    <w:rsid w:val="00457162"/>
    <w:rsid w:val="004575FB"/>
    <w:rsid w:val="0046057A"/>
    <w:rsid w:val="00460845"/>
    <w:rsid w:val="004617BA"/>
    <w:rsid w:val="0046348B"/>
    <w:rsid w:val="0046354C"/>
    <w:rsid w:val="004639CE"/>
    <w:rsid w:val="00464300"/>
    <w:rsid w:val="0046455D"/>
    <w:rsid w:val="00465665"/>
    <w:rsid w:val="004659A9"/>
    <w:rsid w:val="00466DA3"/>
    <w:rsid w:val="004674E8"/>
    <w:rsid w:val="004704B6"/>
    <w:rsid w:val="00470931"/>
    <w:rsid w:val="004711BD"/>
    <w:rsid w:val="004715DB"/>
    <w:rsid w:val="00471B78"/>
    <w:rsid w:val="00471D76"/>
    <w:rsid w:val="0047269A"/>
    <w:rsid w:val="004745CF"/>
    <w:rsid w:val="00477A8C"/>
    <w:rsid w:val="0048249A"/>
    <w:rsid w:val="00482CE7"/>
    <w:rsid w:val="00483668"/>
    <w:rsid w:val="0048729D"/>
    <w:rsid w:val="00487C2C"/>
    <w:rsid w:val="00491EA1"/>
    <w:rsid w:val="004921EA"/>
    <w:rsid w:val="0049266D"/>
    <w:rsid w:val="004926F3"/>
    <w:rsid w:val="00493990"/>
    <w:rsid w:val="00493998"/>
    <w:rsid w:val="00493CC2"/>
    <w:rsid w:val="004956F8"/>
    <w:rsid w:val="00496209"/>
    <w:rsid w:val="0049759A"/>
    <w:rsid w:val="004A06FE"/>
    <w:rsid w:val="004A1768"/>
    <w:rsid w:val="004A3BCD"/>
    <w:rsid w:val="004B2761"/>
    <w:rsid w:val="004B5513"/>
    <w:rsid w:val="004B5737"/>
    <w:rsid w:val="004C1050"/>
    <w:rsid w:val="004C1140"/>
    <w:rsid w:val="004C1C43"/>
    <w:rsid w:val="004C222D"/>
    <w:rsid w:val="004C2909"/>
    <w:rsid w:val="004C453C"/>
    <w:rsid w:val="004C4943"/>
    <w:rsid w:val="004C494B"/>
    <w:rsid w:val="004C7748"/>
    <w:rsid w:val="004D0796"/>
    <w:rsid w:val="004D3C47"/>
    <w:rsid w:val="004D58D1"/>
    <w:rsid w:val="004D6036"/>
    <w:rsid w:val="004D6841"/>
    <w:rsid w:val="004E1059"/>
    <w:rsid w:val="004E2B32"/>
    <w:rsid w:val="004E2E0B"/>
    <w:rsid w:val="004E36CB"/>
    <w:rsid w:val="004E4BE4"/>
    <w:rsid w:val="004E52B1"/>
    <w:rsid w:val="004E5F26"/>
    <w:rsid w:val="004E6CDF"/>
    <w:rsid w:val="004F0272"/>
    <w:rsid w:val="004F0E70"/>
    <w:rsid w:val="004F37D4"/>
    <w:rsid w:val="004F541C"/>
    <w:rsid w:val="004F6620"/>
    <w:rsid w:val="004F6A94"/>
    <w:rsid w:val="005009BA"/>
    <w:rsid w:val="0050206F"/>
    <w:rsid w:val="0050210D"/>
    <w:rsid w:val="005039F9"/>
    <w:rsid w:val="005053BA"/>
    <w:rsid w:val="0050561A"/>
    <w:rsid w:val="00506077"/>
    <w:rsid w:val="00510696"/>
    <w:rsid w:val="005133BB"/>
    <w:rsid w:val="00515C7B"/>
    <w:rsid w:val="00517A2A"/>
    <w:rsid w:val="005221FD"/>
    <w:rsid w:val="00522DB0"/>
    <w:rsid w:val="005239EF"/>
    <w:rsid w:val="00523D84"/>
    <w:rsid w:val="00526DA1"/>
    <w:rsid w:val="005275F8"/>
    <w:rsid w:val="00533DDF"/>
    <w:rsid w:val="005367F9"/>
    <w:rsid w:val="00541E1F"/>
    <w:rsid w:val="00543430"/>
    <w:rsid w:val="005455ED"/>
    <w:rsid w:val="00546E69"/>
    <w:rsid w:val="00553F75"/>
    <w:rsid w:val="0055718C"/>
    <w:rsid w:val="00560C6D"/>
    <w:rsid w:val="00561A68"/>
    <w:rsid w:val="00563479"/>
    <w:rsid w:val="00571DF4"/>
    <w:rsid w:val="005721BC"/>
    <w:rsid w:val="00573540"/>
    <w:rsid w:val="00577D8F"/>
    <w:rsid w:val="005808F4"/>
    <w:rsid w:val="0058172B"/>
    <w:rsid w:val="00581D43"/>
    <w:rsid w:val="00582F2D"/>
    <w:rsid w:val="00583286"/>
    <w:rsid w:val="005834C2"/>
    <w:rsid w:val="0058374A"/>
    <w:rsid w:val="005840D6"/>
    <w:rsid w:val="005848BF"/>
    <w:rsid w:val="00586C33"/>
    <w:rsid w:val="00587B26"/>
    <w:rsid w:val="00592A8F"/>
    <w:rsid w:val="005936D6"/>
    <w:rsid w:val="00593EF9"/>
    <w:rsid w:val="005940E9"/>
    <w:rsid w:val="00594560"/>
    <w:rsid w:val="00596463"/>
    <w:rsid w:val="005A0582"/>
    <w:rsid w:val="005A1C91"/>
    <w:rsid w:val="005A47A2"/>
    <w:rsid w:val="005A4C08"/>
    <w:rsid w:val="005A4F1F"/>
    <w:rsid w:val="005A5314"/>
    <w:rsid w:val="005A6D1D"/>
    <w:rsid w:val="005A716E"/>
    <w:rsid w:val="005A7D34"/>
    <w:rsid w:val="005B0F3A"/>
    <w:rsid w:val="005B22E4"/>
    <w:rsid w:val="005B6F5F"/>
    <w:rsid w:val="005B7F8F"/>
    <w:rsid w:val="005C04D7"/>
    <w:rsid w:val="005C06B9"/>
    <w:rsid w:val="005C165B"/>
    <w:rsid w:val="005C1E74"/>
    <w:rsid w:val="005C2C9B"/>
    <w:rsid w:val="005C4A91"/>
    <w:rsid w:val="005C4CF7"/>
    <w:rsid w:val="005D10E6"/>
    <w:rsid w:val="005D2D7A"/>
    <w:rsid w:val="005D46F4"/>
    <w:rsid w:val="005D5349"/>
    <w:rsid w:val="005D74C7"/>
    <w:rsid w:val="005D77DC"/>
    <w:rsid w:val="005D784F"/>
    <w:rsid w:val="005D7ECE"/>
    <w:rsid w:val="005E0C0C"/>
    <w:rsid w:val="005E1B48"/>
    <w:rsid w:val="005E2862"/>
    <w:rsid w:val="005E3324"/>
    <w:rsid w:val="005E45F1"/>
    <w:rsid w:val="005E50C0"/>
    <w:rsid w:val="005E66F3"/>
    <w:rsid w:val="005F0786"/>
    <w:rsid w:val="005F20B5"/>
    <w:rsid w:val="005F30FC"/>
    <w:rsid w:val="005F35ED"/>
    <w:rsid w:val="005F3A9D"/>
    <w:rsid w:val="005F40CA"/>
    <w:rsid w:val="005F643B"/>
    <w:rsid w:val="00602985"/>
    <w:rsid w:val="0060354F"/>
    <w:rsid w:val="00610304"/>
    <w:rsid w:val="006139E6"/>
    <w:rsid w:val="00614BAD"/>
    <w:rsid w:val="00615AB5"/>
    <w:rsid w:val="00615F24"/>
    <w:rsid w:val="00626B8A"/>
    <w:rsid w:val="00626D35"/>
    <w:rsid w:val="0063371D"/>
    <w:rsid w:val="00634E03"/>
    <w:rsid w:val="00636A78"/>
    <w:rsid w:val="00636D9D"/>
    <w:rsid w:val="00636F63"/>
    <w:rsid w:val="00640BBD"/>
    <w:rsid w:val="0064294F"/>
    <w:rsid w:val="00644120"/>
    <w:rsid w:val="00645938"/>
    <w:rsid w:val="00651A89"/>
    <w:rsid w:val="00654A42"/>
    <w:rsid w:val="00655AE8"/>
    <w:rsid w:val="00655BD8"/>
    <w:rsid w:val="00655E62"/>
    <w:rsid w:val="006651EA"/>
    <w:rsid w:val="00666446"/>
    <w:rsid w:val="006665D2"/>
    <w:rsid w:val="006745A4"/>
    <w:rsid w:val="00675408"/>
    <w:rsid w:val="00675822"/>
    <w:rsid w:val="00676B65"/>
    <w:rsid w:val="006771A1"/>
    <w:rsid w:val="00680368"/>
    <w:rsid w:val="00680854"/>
    <w:rsid w:val="00681BDA"/>
    <w:rsid w:val="00682FC0"/>
    <w:rsid w:val="00683D66"/>
    <w:rsid w:val="00684F5D"/>
    <w:rsid w:val="006853CB"/>
    <w:rsid w:val="00686CE7"/>
    <w:rsid w:val="0068729F"/>
    <w:rsid w:val="00691FFC"/>
    <w:rsid w:val="00692406"/>
    <w:rsid w:val="00696181"/>
    <w:rsid w:val="006962EF"/>
    <w:rsid w:val="00696491"/>
    <w:rsid w:val="0069734A"/>
    <w:rsid w:val="006A1400"/>
    <w:rsid w:val="006A36FA"/>
    <w:rsid w:val="006A3845"/>
    <w:rsid w:val="006A4DCC"/>
    <w:rsid w:val="006A7A6E"/>
    <w:rsid w:val="006B0F87"/>
    <w:rsid w:val="006B27EB"/>
    <w:rsid w:val="006B3673"/>
    <w:rsid w:val="006B453E"/>
    <w:rsid w:val="006B5E57"/>
    <w:rsid w:val="006B7B0C"/>
    <w:rsid w:val="006C2B64"/>
    <w:rsid w:val="006C3684"/>
    <w:rsid w:val="006C3A3E"/>
    <w:rsid w:val="006D038A"/>
    <w:rsid w:val="006D0A33"/>
    <w:rsid w:val="006D2899"/>
    <w:rsid w:val="006D2BB7"/>
    <w:rsid w:val="006D30DE"/>
    <w:rsid w:val="006D4AC4"/>
    <w:rsid w:val="006D66A7"/>
    <w:rsid w:val="006D6EAC"/>
    <w:rsid w:val="006E0389"/>
    <w:rsid w:val="006E0D15"/>
    <w:rsid w:val="006E1276"/>
    <w:rsid w:val="006E1E20"/>
    <w:rsid w:val="006E22F7"/>
    <w:rsid w:val="006E5682"/>
    <w:rsid w:val="006F07F9"/>
    <w:rsid w:val="006F1DA7"/>
    <w:rsid w:val="006F1E6A"/>
    <w:rsid w:val="006F254E"/>
    <w:rsid w:val="006F32DD"/>
    <w:rsid w:val="006F4B3E"/>
    <w:rsid w:val="006F5392"/>
    <w:rsid w:val="006F553A"/>
    <w:rsid w:val="006F63B8"/>
    <w:rsid w:val="006F7211"/>
    <w:rsid w:val="00700C71"/>
    <w:rsid w:val="00700DB4"/>
    <w:rsid w:val="007014A5"/>
    <w:rsid w:val="007025FA"/>
    <w:rsid w:val="0070261F"/>
    <w:rsid w:val="007033D7"/>
    <w:rsid w:val="00703F9B"/>
    <w:rsid w:val="007053B8"/>
    <w:rsid w:val="0070730F"/>
    <w:rsid w:val="007076AF"/>
    <w:rsid w:val="00712CA6"/>
    <w:rsid w:val="00712CFC"/>
    <w:rsid w:val="007135F5"/>
    <w:rsid w:val="007146E9"/>
    <w:rsid w:val="00716413"/>
    <w:rsid w:val="007175D8"/>
    <w:rsid w:val="007177A7"/>
    <w:rsid w:val="00717CE8"/>
    <w:rsid w:val="00717F08"/>
    <w:rsid w:val="00720D9C"/>
    <w:rsid w:val="00721039"/>
    <w:rsid w:val="00722347"/>
    <w:rsid w:val="00723BE2"/>
    <w:rsid w:val="00725C43"/>
    <w:rsid w:val="00726897"/>
    <w:rsid w:val="00727FAC"/>
    <w:rsid w:val="00730D36"/>
    <w:rsid w:val="00730ED5"/>
    <w:rsid w:val="00731018"/>
    <w:rsid w:val="00733E4C"/>
    <w:rsid w:val="00735EBB"/>
    <w:rsid w:val="00740C32"/>
    <w:rsid w:val="00740DAB"/>
    <w:rsid w:val="00741497"/>
    <w:rsid w:val="00742EA8"/>
    <w:rsid w:val="00744679"/>
    <w:rsid w:val="00744EC4"/>
    <w:rsid w:val="007452CE"/>
    <w:rsid w:val="00746F28"/>
    <w:rsid w:val="00747FF8"/>
    <w:rsid w:val="007503FB"/>
    <w:rsid w:val="0075118F"/>
    <w:rsid w:val="00752545"/>
    <w:rsid w:val="00753B72"/>
    <w:rsid w:val="00755B1D"/>
    <w:rsid w:val="00757734"/>
    <w:rsid w:val="00760F43"/>
    <w:rsid w:val="0076164B"/>
    <w:rsid w:val="007620EE"/>
    <w:rsid w:val="00762504"/>
    <w:rsid w:val="0076378D"/>
    <w:rsid w:val="00765898"/>
    <w:rsid w:val="00766616"/>
    <w:rsid w:val="007707EA"/>
    <w:rsid w:val="00773CD8"/>
    <w:rsid w:val="007766A2"/>
    <w:rsid w:val="00776D43"/>
    <w:rsid w:val="00780A2E"/>
    <w:rsid w:val="00782AF2"/>
    <w:rsid w:val="0078375D"/>
    <w:rsid w:val="00784411"/>
    <w:rsid w:val="00786AB6"/>
    <w:rsid w:val="00790712"/>
    <w:rsid w:val="00791B78"/>
    <w:rsid w:val="0079362A"/>
    <w:rsid w:val="0079408E"/>
    <w:rsid w:val="007944AC"/>
    <w:rsid w:val="00795B03"/>
    <w:rsid w:val="00796F48"/>
    <w:rsid w:val="007A3490"/>
    <w:rsid w:val="007A5B52"/>
    <w:rsid w:val="007A6062"/>
    <w:rsid w:val="007A60A9"/>
    <w:rsid w:val="007B075A"/>
    <w:rsid w:val="007B39B1"/>
    <w:rsid w:val="007C0908"/>
    <w:rsid w:val="007C0D5D"/>
    <w:rsid w:val="007C1429"/>
    <w:rsid w:val="007C1456"/>
    <w:rsid w:val="007C1483"/>
    <w:rsid w:val="007C4831"/>
    <w:rsid w:val="007C53C9"/>
    <w:rsid w:val="007C5DBB"/>
    <w:rsid w:val="007D061E"/>
    <w:rsid w:val="007D0786"/>
    <w:rsid w:val="007D1E37"/>
    <w:rsid w:val="007D1FCF"/>
    <w:rsid w:val="007D25BC"/>
    <w:rsid w:val="007D365E"/>
    <w:rsid w:val="007D43B9"/>
    <w:rsid w:val="007D6E52"/>
    <w:rsid w:val="007D7A32"/>
    <w:rsid w:val="007E332B"/>
    <w:rsid w:val="007E488A"/>
    <w:rsid w:val="007E5A9B"/>
    <w:rsid w:val="007F0EB2"/>
    <w:rsid w:val="007F1AE4"/>
    <w:rsid w:val="007F3347"/>
    <w:rsid w:val="007F632D"/>
    <w:rsid w:val="007F7977"/>
    <w:rsid w:val="007F79CB"/>
    <w:rsid w:val="00802197"/>
    <w:rsid w:val="00805328"/>
    <w:rsid w:val="00805A69"/>
    <w:rsid w:val="008068F9"/>
    <w:rsid w:val="008108E1"/>
    <w:rsid w:val="00810EE7"/>
    <w:rsid w:val="008112C5"/>
    <w:rsid w:val="00822945"/>
    <w:rsid w:val="008246AE"/>
    <w:rsid w:val="00824A2F"/>
    <w:rsid w:val="008255A9"/>
    <w:rsid w:val="00825B0B"/>
    <w:rsid w:val="00825E4A"/>
    <w:rsid w:val="00835E54"/>
    <w:rsid w:val="00837FCD"/>
    <w:rsid w:val="00841873"/>
    <w:rsid w:val="00846F3D"/>
    <w:rsid w:val="0084738E"/>
    <w:rsid w:val="00847A03"/>
    <w:rsid w:val="008555EA"/>
    <w:rsid w:val="00860750"/>
    <w:rsid w:val="00860F07"/>
    <w:rsid w:val="00861F9E"/>
    <w:rsid w:val="008625E3"/>
    <w:rsid w:val="00862D40"/>
    <w:rsid w:val="00865A22"/>
    <w:rsid w:val="008735BD"/>
    <w:rsid w:val="00874D2E"/>
    <w:rsid w:val="008753E8"/>
    <w:rsid w:val="0087568A"/>
    <w:rsid w:val="008758A2"/>
    <w:rsid w:val="00876938"/>
    <w:rsid w:val="00876DA6"/>
    <w:rsid w:val="00880521"/>
    <w:rsid w:val="00883C04"/>
    <w:rsid w:val="00886A20"/>
    <w:rsid w:val="00886B66"/>
    <w:rsid w:val="00890987"/>
    <w:rsid w:val="008944EC"/>
    <w:rsid w:val="0089475E"/>
    <w:rsid w:val="00897910"/>
    <w:rsid w:val="00897C80"/>
    <w:rsid w:val="00897ED5"/>
    <w:rsid w:val="008A069B"/>
    <w:rsid w:val="008A14D1"/>
    <w:rsid w:val="008A35D3"/>
    <w:rsid w:val="008A653C"/>
    <w:rsid w:val="008B3552"/>
    <w:rsid w:val="008B3E2E"/>
    <w:rsid w:val="008B46CE"/>
    <w:rsid w:val="008B76FB"/>
    <w:rsid w:val="008B7D83"/>
    <w:rsid w:val="008C2B10"/>
    <w:rsid w:val="008C3494"/>
    <w:rsid w:val="008C5548"/>
    <w:rsid w:val="008C6924"/>
    <w:rsid w:val="008C7DE2"/>
    <w:rsid w:val="008D0637"/>
    <w:rsid w:val="008D0803"/>
    <w:rsid w:val="008D1562"/>
    <w:rsid w:val="008D2C1B"/>
    <w:rsid w:val="008D3160"/>
    <w:rsid w:val="008D583D"/>
    <w:rsid w:val="008D7609"/>
    <w:rsid w:val="008D7B4C"/>
    <w:rsid w:val="008E217E"/>
    <w:rsid w:val="008E4687"/>
    <w:rsid w:val="008E698A"/>
    <w:rsid w:val="008F2065"/>
    <w:rsid w:val="008F44F8"/>
    <w:rsid w:val="00900114"/>
    <w:rsid w:val="009009D1"/>
    <w:rsid w:val="00901B8D"/>
    <w:rsid w:val="00901FA3"/>
    <w:rsid w:val="00902EDF"/>
    <w:rsid w:val="00903771"/>
    <w:rsid w:val="00903B3C"/>
    <w:rsid w:val="00903F0B"/>
    <w:rsid w:val="00905531"/>
    <w:rsid w:val="00905A43"/>
    <w:rsid w:val="0090668D"/>
    <w:rsid w:val="00910BE4"/>
    <w:rsid w:val="00911770"/>
    <w:rsid w:val="009123F7"/>
    <w:rsid w:val="0091697E"/>
    <w:rsid w:val="00917547"/>
    <w:rsid w:val="00921E11"/>
    <w:rsid w:val="00923BA0"/>
    <w:rsid w:val="009241B3"/>
    <w:rsid w:val="00924BD1"/>
    <w:rsid w:val="00925C43"/>
    <w:rsid w:val="00925D0B"/>
    <w:rsid w:val="00930F4D"/>
    <w:rsid w:val="00931BF1"/>
    <w:rsid w:val="00934167"/>
    <w:rsid w:val="00934348"/>
    <w:rsid w:val="0093653F"/>
    <w:rsid w:val="00942798"/>
    <w:rsid w:val="00945C9C"/>
    <w:rsid w:val="009520D1"/>
    <w:rsid w:val="009524FB"/>
    <w:rsid w:val="0095714D"/>
    <w:rsid w:val="009615DB"/>
    <w:rsid w:val="00963336"/>
    <w:rsid w:val="009641A1"/>
    <w:rsid w:val="00965BE8"/>
    <w:rsid w:val="009668EA"/>
    <w:rsid w:val="009704CE"/>
    <w:rsid w:val="0097515B"/>
    <w:rsid w:val="00975904"/>
    <w:rsid w:val="00975A41"/>
    <w:rsid w:val="00975C07"/>
    <w:rsid w:val="009848D5"/>
    <w:rsid w:val="00984CE1"/>
    <w:rsid w:val="00984DC0"/>
    <w:rsid w:val="009859D0"/>
    <w:rsid w:val="00985DFC"/>
    <w:rsid w:val="00985E13"/>
    <w:rsid w:val="00986351"/>
    <w:rsid w:val="009867FF"/>
    <w:rsid w:val="00990757"/>
    <w:rsid w:val="009910C4"/>
    <w:rsid w:val="00992726"/>
    <w:rsid w:val="00994615"/>
    <w:rsid w:val="0099474F"/>
    <w:rsid w:val="00997736"/>
    <w:rsid w:val="00997A2D"/>
    <w:rsid w:val="009A0546"/>
    <w:rsid w:val="009A2E60"/>
    <w:rsid w:val="009A372E"/>
    <w:rsid w:val="009A64EA"/>
    <w:rsid w:val="009A6BB9"/>
    <w:rsid w:val="009A79E4"/>
    <w:rsid w:val="009B0604"/>
    <w:rsid w:val="009B11E0"/>
    <w:rsid w:val="009B2963"/>
    <w:rsid w:val="009B468E"/>
    <w:rsid w:val="009B53BB"/>
    <w:rsid w:val="009B5B71"/>
    <w:rsid w:val="009B70E4"/>
    <w:rsid w:val="009B7C8A"/>
    <w:rsid w:val="009C05E5"/>
    <w:rsid w:val="009C0D23"/>
    <w:rsid w:val="009C0EF9"/>
    <w:rsid w:val="009C4342"/>
    <w:rsid w:val="009C7AA7"/>
    <w:rsid w:val="009C7B83"/>
    <w:rsid w:val="009C7E3A"/>
    <w:rsid w:val="009D0442"/>
    <w:rsid w:val="009D0961"/>
    <w:rsid w:val="009D0F00"/>
    <w:rsid w:val="009D1CD2"/>
    <w:rsid w:val="009D25A6"/>
    <w:rsid w:val="009D3AC1"/>
    <w:rsid w:val="009D48BF"/>
    <w:rsid w:val="009D524D"/>
    <w:rsid w:val="009E0054"/>
    <w:rsid w:val="009E087D"/>
    <w:rsid w:val="009E0AE5"/>
    <w:rsid w:val="009E14E2"/>
    <w:rsid w:val="009E4474"/>
    <w:rsid w:val="009E72E0"/>
    <w:rsid w:val="009E7529"/>
    <w:rsid w:val="009F018A"/>
    <w:rsid w:val="009F0FFC"/>
    <w:rsid w:val="009F1D6E"/>
    <w:rsid w:val="009F25CC"/>
    <w:rsid w:val="009F4E1C"/>
    <w:rsid w:val="009F6326"/>
    <w:rsid w:val="009F7269"/>
    <w:rsid w:val="009F7DF8"/>
    <w:rsid w:val="009F7FCA"/>
    <w:rsid w:val="00A0168E"/>
    <w:rsid w:val="00A02C5F"/>
    <w:rsid w:val="00A04732"/>
    <w:rsid w:val="00A0476F"/>
    <w:rsid w:val="00A049CA"/>
    <w:rsid w:val="00A0583F"/>
    <w:rsid w:val="00A06CAE"/>
    <w:rsid w:val="00A07C2D"/>
    <w:rsid w:val="00A12731"/>
    <w:rsid w:val="00A12A60"/>
    <w:rsid w:val="00A13808"/>
    <w:rsid w:val="00A13990"/>
    <w:rsid w:val="00A148C2"/>
    <w:rsid w:val="00A149D0"/>
    <w:rsid w:val="00A14C2E"/>
    <w:rsid w:val="00A174F6"/>
    <w:rsid w:val="00A2012A"/>
    <w:rsid w:val="00A20FCE"/>
    <w:rsid w:val="00A21B14"/>
    <w:rsid w:val="00A234DB"/>
    <w:rsid w:val="00A23CC5"/>
    <w:rsid w:val="00A24B8D"/>
    <w:rsid w:val="00A24F40"/>
    <w:rsid w:val="00A32227"/>
    <w:rsid w:val="00A32FAD"/>
    <w:rsid w:val="00A34FC4"/>
    <w:rsid w:val="00A35530"/>
    <w:rsid w:val="00A362EB"/>
    <w:rsid w:val="00A36B13"/>
    <w:rsid w:val="00A40898"/>
    <w:rsid w:val="00A449C8"/>
    <w:rsid w:val="00A45D95"/>
    <w:rsid w:val="00A4646C"/>
    <w:rsid w:val="00A4687B"/>
    <w:rsid w:val="00A54238"/>
    <w:rsid w:val="00A5638C"/>
    <w:rsid w:val="00A569F5"/>
    <w:rsid w:val="00A57535"/>
    <w:rsid w:val="00A60043"/>
    <w:rsid w:val="00A60298"/>
    <w:rsid w:val="00A60ED6"/>
    <w:rsid w:val="00A62A89"/>
    <w:rsid w:val="00A65F64"/>
    <w:rsid w:val="00A66C5D"/>
    <w:rsid w:val="00A67976"/>
    <w:rsid w:val="00A707ED"/>
    <w:rsid w:val="00A70DCC"/>
    <w:rsid w:val="00A718A7"/>
    <w:rsid w:val="00A746B1"/>
    <w:rsid w:val="00A7499C"/>
    <w:rsid w:val="00A77C96"/>
    <w:rsid w:val="00A8116C"/>
    <w:rsid w:val="00A84807"/>
    <w:rsid w:val="00A851FD"/>
    <w:rsid w:val="00A85D0F"/>
    <w:rsid w:val="00A86CCF"/>
    <w:rsid w:val="00A86F08"/>
    <w:rsid w:val="00A86F0F"/>
    <w:rsid w:val="00A87A4E"/>
    <w:rsid w:val="00A87E9F"/>
    <w:rsid w:val="00A918E7"/>
    <w:rsid w:val="00A931B1"/>
    <w:rsid w:val="00A933DE"/>
    <w:rsid w:val="00A93707"/>
    <w:rsid w:val="00A97611"/>
    <w:rsid w:val="00AA267E"/>
    <w:rsid w:val="00AA405F"/>
    <w:rsid w:val="00AA4230"/>
    <w:rsid w:val="00AA567A"/>
    <w:rsid w:val="00AA5C4D"/>
    <w:rsid w:val="00AA5EB1"/>
    <w:rsid w:val="00AA6D3B"/>
    <w:rsid w:val="00AB12F7"/>
    <w:rsid w:val="00AB146D"/>
    <w:rsid w:val="00AB2DCF"/>
    <w:rsid w:val="00AB3316"/>
    <w:rsid w:val="00AB38EF"/>
    <w:rsid w:val="00AB5CD8"/>
    <w:rsid w:val="00AC14B8"/>
    <w:rsid w:val="00AC32C2"/>
    <w:rsid w:val="00AC4AF6"/>
    <w:rsid w:val="00AC5C74"/>
    <w:rsid w:val="00AC75D1"/>
    <w:rsid w:val="00AD0A0D"/>
    <w:rsid w:val="00AD2531"/>
    <w:rsid w:val="00AD2919"/>
    <w:rsid w:val="00AD2AE5"/>
    <w:rsid w:val="00AD3487"/>
    <w:rsid w:val="00AD3E7A"/>
    <w:rsid w:val="00AD4BB3"/>
    <w:rsid w:val="00AD5071"/>
    <w:rsid w:val="00AD6610"/>
    <w:rsid w:val="00AD68F4"/>
    <w:rsid w:val="00AD7627"/>
    <w:rsid w:val="00AD787F"/>
    <w:rsid w:val="00AE369B"/>
    <w:rsid w:val="00AE4306"/>
    <w:rsid w:val="00AE53E8"/>
    <w:rsid w:val="00AE7B38"/>
    <w:rsid w:val="00AF0935"/>
    <w:rsid w:val="00AF09F4"/>
    <w:rsid w:val="00AF321B"/>
    <w:rsid w:val="00AF3B2D"/>
    <w:rsid w:val="00AF462F"/>
    <w:rsid w:val="00AF589F"/>
    <w:rsid w:val="00AF6D87"/>
    <w:rsid w:val="00AF7A5B"/>
    <w:rsid w:val="00B02032"/>
    <w:rsid w:val="00B03825"/>
    <w:rsid w:val="00B039DC"/>
    <w:rsid w:val="00B03BEA"/>
    <w:rsid w:val="00B04848"/>
    <w:rsid w:val="00B058A4"/>
    <w:rsid w:val="00B05C06"/>
    <w:rsid w:val="00B06A35"/>
    <w:rsid w:val="00B0764E"/>
    <w:rsid w:val="00B07F3B"/>
    <w:rsid w:val="00B10127"/>
    <w:rsid w:val="00B10B9B"/>
    <w:rsid w:val="00B1273F"/>
    <w:rsid w:val="00B14009"/>
    <w:rsid w:val="00B144F1"/>
    <w:rsid w:val="00B16939"/>
    <w:rsid w:val="00B17286"/>
    <w:rsid w:val="00B20DF0"/>
    <w:rsid w:val="00B20E07"/>
    <w:rsid w:val="00B26E16"/>
    <w:rsid w:val="00B30D92"/>
    <w:rsid w:val="00B3253E"/>
    <w:rsid w:val="00B325CC"/>
    <w:rsid w:val="00B326FE"/>
    <w:rsid w:val="00B33332"/>
    <w:rsid w:val="00B35843"/>
    <w:rsid w:val="00B36055"/>
    <w:rsid w:val="00B36110"/>
    <w:rsid w:val="00B40718"/>
    <w:rsid w:val="00B41C1F"/>
    <w:rsid w:val="00B4363B"/>
    <w:rsid w:val="00B43ABB"/>
    <w:rsid w:val="00B44504"/>
    <w:rsid w:val="00B44574"/>
    <w:rsid w:val="00B44A5A"/>
    <w:rsid w:val="00B50BBB"/>
    <w:rsid w:val="00B52237"/>
    <w:rsid w:val="00B5234B"/>
    <w:rsid w:val="00B52D76"/>
    <w:rsid w:val="00B55A66"/>
    <w:rsid w:val="00B570E5"/>
    <w:rsid w:val="00B57106"/>
    <w:rsid w:val="00B60FFE"/>
    <w:rsid w:val="00B61ED8"/>
    <w:rsid w:val="00B64D52"/>
    <w:rsid w:val="00B65BE5"/>
    <w:rsid w:val="00B6786F"/>
    <w:rsid w:val="00B72834"/>
    <w:rsid w:val="00B741B3"/>
    <w:rsid w:val="00B745B4"/>
    <w:rsid w:val="00B749C7"/>
    <w:rsid w:val="00B74D6C"/>
    <w:rsid w:val="00B75275"/>
    <w:rsid w:val="00B76368"/>
    <w:rsid w:val="00B76C5E"/>
    <w:rsid w:val="00B770CD"/>
    <w:rsid w:val="00B771BA"/>
    <w:rsid w:val="00B80E47"/>
    <w:rsid w:val="00B8174B"/>
    <w:rsid w:val="00B8267C"/>
    <w:rsid w:val="00B82BA2"/>
    <w:rsid w:val="00B84221"/>
    <w:rsid w:val="00B84792"/>
    <w:rsid w:val="00B86ECA"/>
    <w:rsid w:val="00B9156F"/>
    <w:rsid w:val="00B91B40"/>
    <w:rsid w:val="00B9369D"/>
    <w:rsid w:val="00B939E2"/>
    <w:rsid w:val="00B95FD3"/>
    <w:rsid w:val="00B9615F"/>
    <w:rsid w:val="00B962AC"/>
    <w:rsid w:val="00B969B6"/>
    <w:rsid w:val="00BA20C4"/>
    <w:rsid w:val="00BA31F3"/>
    <w:rsid w:val="00BA3D62"/>
    <w:rsid w:val="00BA4AA6"/>
    <w:rsid w:val="00BA4CFA"/>
    <w:rsid w:val="00BA5E61"/>
    <w:rsid w:val="00BA6B7B"/>
    <w:rsid w:val="00BB2B3F"/>
    <w:rsid w:val="00BB2E82"/>
    <w:rsid w:val="00BB3ECE"/>
    <w:rsid w:val="00BB419F"/>
    <w:rsid w:val="00BB4C3C"/>
    <w:rsid w:val="00BB4C4C"/>
    <w:rsid w:val="00BB69EA"/>
    <w:rsid w:val="00BB6B82"/>
    <w:rsid w:val="00BC04D7"/>
    <w:rsid w:val="00BC3CD6"/>
    <w:rsid w:val="00BC4FE1"/>
    <w:rsid w:val="00BC5494"/>
    <w:rsid w:val="00BC68B2"/>
    <w:rsid w:val="00BC7D01"/>
    <w:rsid w:val="00BD130F"/>
    <w:rsid w:val="00BD1A41"/>
    <w:rsid w:val="00BD1F6C"/>
    <w:rsid w:val="00BD78EE"/>
    <w:rsid w:val="00BD7ACF"/>
    <w:rsid w:val="00BE0E37"/>
    <w:rsid w:val="00BE17AA"/>
    <w:rsid w:val="00BE2D74"/>
    <w:rsid w:val="00BE4275"/>
    <w:rsid w:val="00BE4718"/>
    <w:rsid w:val="00BE626C"/>
    <w:rsid w:val="00BE6BED"/>
    <w:rsid w:val="00BF254C"/>
    <w:rsid w:val="00BF3BE3"/>
    <w:rsid w:val="00BF4637"/>
    <w:rsid w:val="00BF5480"/>
    <w:rsid w:val="00BF6D3F"/>
    <w:rsid w:val="00BF6EBF"/>
    <w:rsid w:val="00BF755F"/>
    <w:rsid w:val="00BF7D15"/>
    <w:rsid w:val="00C00061"/>
    <w:rsid w:val="00C00937"/>
    <w:rsid w:val="00C0112B"/>
    <w:rsid w:val="00C05387"/>
    <w:rsid w:val="00C05B12"/>
    <w:rsid w:val="00C06734"/>
    <w:rsid w:val="00C074AE"/>
    <w:rsid w:val="00C104CB"/>
    <w:rsid w:val="00C1106A"/>
    <w:rsid w:val="00C12E84"/>
    <w:rsid w:val="00C133AD"/>
    <w:rsid w:val="00C14427"/>
    <w:rsid w:val="00C1443D"/>
    <w:rsid w:val="00C210FE"/>
    <w:rsid w:val="00C21696"/>
    <w:rsid w:val="00C221EC"/>
    <w:rsid w:val="00C267EE"/>
    <w:rsid w:val="00C30326"/>
    <w:rsid w:val="00C35750"/>
    <w:rsid w:val="00C37A46"/>
    <w:rsid w:val="00C407C2"/>
    <w:rsid w:val="00C40F92"/>
    <w:rsid w:val="00C41925"/>
    <w:rsid w:val="00C41AF4"/>
    <w:rsid w:val="00C424C0"/>
    <w:rsid w:val="00C42697"/>
    <w:rsid w:val="00C44591"/>
    <w:rsid w:val="00C454FF"/>
    <w:rsid w:val="00C470CC"/>
    <w:rsid w:val="00C47974"/>
    <w:rsid w:val="00C508ED"/>
    <w:rsid w:val="00C54014"/>
    <w:rsid w:val="00C55536"/>
    <w:rsid w:val="00C5663F"/>
    <w:rsid w:val="00C5735B"/>
    <w:rsid w:val="00C57755"/>
    <w:rsid w:val="00C62247"/>
    <w:rsid w:val="00C66752"/>
    <w:rsid w:val="00C66C1A"/>
    <w:rsid w:val="00C71BA6"/>
    <w:rsid w:val="00C71D4D"/>
    <w:rsid w:val="00C721D2"/>
    <w:rsid w:val="00C72270"/>
    <w:rsid w:val="00C73CD9"/>
    <w:rsid w:val="00C74B8E"/>
    <w:rsid w:val="00C7557B"/>
    <w:rsid w:val="00C75B9B"/>
    <w:rsid w:val="00C76D74"/>
    <w:rsid w:val="00C7730B"/>
    <w:rsid w:val="00C80281"/>
    <w:rsid w:val="00C80499"/>
    <w:rsid w:val="00C81465"/>
    <w:rsid w:val="00C81A5C"/>
    <w:rsid w:val="00C8235F"/>
    <w:rsid w:val="00C83842"/>
    <w:rsid w:val="00C83AD4"/>
    <w:rsid w:val="00C83B95"/>
    <w:rsid w:val="00C85608"/>
    <w:rsid w:val="00C85844"/>
    <w:rsid w:val="00C86882"/>
    <w:rsid w:val="00C86E3C"/>
    <w:rsid w:val="00C87A0E"/>
    <w:rsid w:val="00C910F8"/>
    <w:rsid w:val="00C93965"/>
    <w:rsid w:val="00C949DB"/>
    <w:rsid w:val="00C9657A"/>
    <w:rsid w:val="00CA1152"/>
    <w:rsid w:val="00CA1F9B"/>
    <w:rsid w:val="00CA5CF3"/>
    <w:rsid w:val="00CA7F00"/>
    <w:rsid w:val="00CB0089"/>
    <w:rsid w:val="00CB16FE"/>
    <w:rsid w:val="00CB3EB1"/>
    <w:rsid w:val="00CB4AB4"/>
    <w:rsid w:val="00CB6795"/>
    <w:rsid w:val="00CB6FD3"/>
    <w:rsid w:val="00CC0311"/>
    <w:rsid w:val="00CC3AA4"/>
    <w:rsid w:val="00CC684D"/>
    <w:rsid w:val="00CC7106"/>
    <w:rsid w:val="00CD063E"/>
    <w:rsid w:val="00CD08EA"/>
    <w:rsid w:val="00CD3289"/>
    <w:rsid w:val="00CD37E6"/>
    <w:rsid w:val="00CD5991"/>
    <w:rsid w:val="00CE1133"/>
    <w:rsid w:val="00CE16DE"/>
    <w:rsid w:val="00CE3337"/>
    <w:rsid w:val="00CE4D89"/>
    <w:rsid w:val="00CE5BC6"/>
    <w:rsid w:val="00CE7E9B"/>
    <w:rsid w:val="00CF105A"/>
    <w:rsid w:val="00CF2059"/>
    <w:rsid w:val="00CF32BD"/>
    <w:rsid w:val="00CF39F4"/>
    <w:rsid w:val="00CF3D49"/>
    <w:rsid w:val="00CF423C"/>
    <w:rsid w:val="00CF6275"/>
    <w:rsid w:val="00D014E0"/>
    <w:rsid w:val="00D01E55"/>
    <w:rsid w:val="00D034B5"/>
    <w:rsid w:val="00D05421"/>
    <w:rsid w:val="00D064A2"/>
    <w:rsid w:val="00D067FC"/>
    <w:rsid w:val="00D06E4A"/>
    <w:rsid w:val="00D0741E"/>
    <w:rsid w:val="00D1033E"/>
    <w:rsid w:val="00D1173F"/>
    <w:rsid w:val="00D1278E"/>
    <w:rsid w:val="00D142CE"/>
    <w:rsid w:val="00D147B9"/>
    <w:rsid w:val="00D15124"/>
    <w:rsid w:val="00D15B0D"/>
    <w:rsid w:val="00D16BF1"/>
    <w:rsid w:val="00D20CA6"/>
    <w:rsid w:val="00D21D0E"/>
    <w:rsid w:val="00D226B0"/>
    <w:rsid w:val="00D22732"/>
    <w:rsid w:val="00D24A13"/>
    <w:rsid w:val="00D25482"/>
    <w:rsid w:val="00D3240D"/>
    <w:rsid w:val="00D329F8"/>
    <w:rsid w:val="00D32B93"/>
    <w:rsid w:val="00D35600"/>
    <w:rsid w:val="00D359F0"/>
    <w:rsid w:val="00D37581"/>
    <w:rsid w:val="00D404D4"/>
    <w:rsid w:val="00D40A2B"/>
    <w:rsid w:val="00D422DC"/>
    <w:rsid w:val="00D4589B"/>
    <w:rsid w:val="00D50654"/>
    <w:rsid w:val="00D5644C"/>
    <w:rsid w:val="00D60721"/>
    <w:rsid w:val="00D62D7E"/>
    <w:rsid w:val="00D63386"/>
    <w:rsid w:val="00D633BB"/>
    <w:rsid w:val="00D637DD"/>
    <w:rsid w:val="00D72089"/>
    <w:rsid w:val="00D73D74"/>
    <w:rsid w:val="00D776FF"/>
    <w:rsid w:val="00D80D6A"/>
    <w:rsid w:val="00D81421"/>
    <w:rsid w:val="00D8336E"/>
    <w:rsid w:val="00D83C20"/>
    <w:rsid w:val="00D83F81"/>
    <w:rsid w:val="00D85348"/>
    <w:rsid w:val="00D90528"/>
    <w:rsid w:val="00D908B5"/>
    <w:rsid w:val="00D91DB2"/>
    <w:rsid w:val="00D91FED"/>
    <w:rsid w:val="00D927E4"/>
    <w:rsid w:val="00D94D2C"/>
    <w:rsid w:val="00D9611E"/>
    <w:rsid w:val="00D96438"/>
    <w:rsid w:val="00D96911"/>
    <w:rsid w:val="00DA04B3"/>
    <w:rsid w:val="00DA0EFF"/>
    <w:rsid w:val="00DA2342"/>
    <w:rsid w:val="00DA235C"/>
    <w:rsid w:val="00DA348A"/>
    <w:rsid w:val="00DA4364"/>
    <w:rsid w:val="00DB03A2"/>
    <w:rsid w:val="00DB04E9"/>
    <w:rsid w:val="00DB15B0"/>
    <w:rsid w:val="00DB25A6"/>
    <w:rsid w:val="00DB37F8"/>
    <w:rsid w:val="00DB46DF"/>
    <w:rsid w:val="00DB4A90"/>
    <w:rsid w:val="00DB6099"/>
    <w:rsid w:val="00DB66EC"/>
    <w:rsid w:val="00DB73A9"/>
    <w:rsid w:val="00DC21C2"/>
    <w:rsid w:val="00DC32EE"/>
    <w:rsid w:val="00DC4242"/>
    <w:rsid w:val="00DC5B33"/>
    <w:rsid w:val="00DC5DDE"/>
    <w:rsid w:val="00DC7374"/>
    <w:rsid w:val="00DC7FB6"/>
    <w:rsid w:val="00DD0912"/>
    <w:rsid w:val="00DD11AB"/>
    <w:rsid w:val="00DD1A07"/>
    <w:rsid w:val="00DD1A29"/>
    <w:rsid w:val="00DD2C97"/>
    <w:rsid w:val="00DD42CE"/>
    <w:rsid w:val="00DE12D9"/>
    <w:rsid w:val="00DE1795"/>
    <w:rsid w:val="00DE3018"/>
    <w:rsid w:val="00DE5B83"/>
    <w:rsid w:val="00DE5FE7"/>
    <w:rsid w:val="00DE6D9E"/>
    <w:rsid w:val="00DF0544"/>
    <w:rsid w:val="00DF3141"/>
    <w:rsid w:val="00DF3519"/>
    <w:rsid w:val="00DF67F0"/>
    <w:rsid w:val="00E0406D"/>
    <w:rsid w:val="00E0603C"/>
    <w:rsid w:val="00E0647B"/>
    <w:rsid w:val="00E06F64"/>
    <w:rsid w:val="00E07C53"/>
    <w:rsid w:val="00E1066C"/>
    <w:rsid w:val="00E11E6C"/>
    <w:rsid w:val="00E12DCA"/>
    <w:rsid w:val="00E13BD3"/>
    <w:rsid w:val="00E221C4"/>
    <w:rsid w:val="00E22622"/>
    <w:rsid w:val="00E23B73"/>
    <w:rsid w:val="00E23F18"/>
    <w:rsid w:val="00E26A67"/>
    <w:rsid w:val="00E27DD0"/>
    <w:rsid w:val="00E27E2A"/>
    <w:rsid w:val="00E27F46"/>
    <w:rsid w:val="00E33441"/>
    <w:rsid w:val="00E35BAC"/>
    <w:rsid w:val="00E36488"/>
    <w:rsid w:val="00E40ABE"/>
    <w:rsid w:val="00E41EBF"/>
    <w:rsid w:val="00E434D0"/>
    <w:rsid w:val="00E43521"/>
    <w:rsid w:val="00E4358F"/>
    <w:rsid w:val="00E43722"/>
    <w:rsid w:val="00E43AE4"/>
    <w:rsid w:val="00E43FAD"/>
    <w:rsid w:val="00E45874"/>
    <w:rsid w:val="00E45EA4"/>
    <w:rsid w:val="00E464AD"/>
    <w:rsid w:val="00E52DC1"/>
    <w:rsid w:val="00E5583B"/>
    <w:rsid w:val="00E632A4"/>
    <w:rsid w:val="00E63D28"/>
    <w:rsid w:val="00E648B0"/>
    <w:rsid w:val="00E64A66"/>
    <w:rsid w:val="00E65139"/>
    <w:rsid w:val="00E67997"/>
    <w:rsid w:val="00E709D8"/>
    <w:rsid w:val="00E71F15"/>
    <w:rsid w:val="00E7208A"/>
    <w:rsid w:val="00E74A3B"/>
    <w:rsid w:val="00E74E25"/>
    <w:rsid w:val="00E76AF4"/>
    <w:rsid w:val="00E778CA"/>
    <w:rsid w:val="00E80EED"/>
    <w:rsid w:val="00E81952"/>
    <w:rsid w:val="00E82E10"/>
    <w:rsid w:val="00E83B74"/>
    <w:rsid w:val="00E85913"/>
    <w:rsid w:val="00E86540"/>
    <w:rsid w:val="00E86817"/>
    <w:rsid w:val="00E871A1"/>
    <w:rsid w:val="00E9217A"/>
    <w:rsid w:val="00E921D9"/>
    <w:rsid w:val="00E960D4"/>
    <w:rsid w:val="00E96389"/>
    <w:rsid w:val="00E963AA"/>
    <w:rsid w:val="00E96944"/>
    <w:rsid w:val="00EA0F87"/>
    <w:rsid w:val="00EA497F"/>
    <w:rsid w:val="00EA4C74"/>
    <w:rsid w:val="00EB1F00"/>
    <w:rsid w:val="00EB4414"/>
    <w:rsid w:val="00EB482A"/>
    <w:rsid w:val="00EB4F38"/>
    <w:rsid w:val="00EB4F53"/>
    <w:rsid w:val="00EC1444"/>
    <w:rsid w:val="00EC2281"/>
    <w:rsid w:val="00EC62C5"/>
    <w:rsid w:val="00EC742B"/>
    <w:rsid w:val="00EC7903"/>
    <w:rsid w:val="00ED107E"/>
    <w:rsid w:val="00ED31EC"/>
    <w:rsid w:val="00ED3D65"/>
    <w:rsid w:val="00ED5487"/>
    <w:rsid w:val="00ED5D01"/>
    <w:rsid w:val="00ED64EE"/>
    <w:rsid w:val="00EE017D"/>
    <w:rsid w:val="00EE226C"/>
    <w:rsid w:val="00EE2F3C"/>
    <w:rsid w:val="00EE3915"/>
    <w:rsid w:val="00EE407C"/>
    <w:rsid w:val="00EE464C"/>
    <w:rsid w:val="00EE4CA3"/>
    <w:rsid w:val="00EE51E8"/>
    <w:rsid w:val="00EE73E9"/>
    <w:rsid w:val="00EF3231"/>
    <w:rsid w:val="00EF6F31"/>
    <w:rsid w:val="00EF75EF"/>
    <w:rsid w:val="00F016E5"/>
    <w:rsid w:val="00F01EB1"/>
    <w:rsid w:val="00F02E85"/>
    <w:rsid w:val="00F02EB7"/>
    <w:rsid w:val="00F04708"/>
    <w:rsid w:val="00F11771"/>
    <w:rsid w:val="00F133C9"/>
    <w:rsid w:val="00F20AA6"/>
    <w:rsid w:val="00F25209"/>
    <w:rsid w:val="00F3096A"/>
    <w:rsid w:val="00F336F5"/>
    <w:rsid w:val="00F33753"/>
    <w:rsid w:val="00F35760"/>
    <w:rsid w:val="00F35A2D"/>
    <w:rsid w:val="00F36F22"/>
    <w:rsid w:val="00F374D3"/>
    <w:rsid w:val="00F40D30"/>
    <w:rsid w:val="00F44291"/>
    <w:rsid w:val="00F4679D"/>
    <w:rsid w:val="00F50726"/>
    <w:rsid w:val="00F5231E"/>
    <w:rsid w:val="00F54AC6"/>
    <w:rsid w:val="00F54AD1"/>
    <w:rsid w:val="00F60750"/>
    <w:rsid w:val="00F63DA8"/>
    <w:rsid w:val="00F649B0"/>
    <w:rsid w:val="00F64BC2"/>
    <w:rsid w:val="00F65235"/>
    <w:rsid w:val="00F65BB6"/>
    <w:rsid w:val="00F6614D"/>
    <w:rsid w:val="00F66A19"/>
    <w:rsid w:val="00F717C1"/>
    <w:rsid w:val="00F718A0"/>
    <w:rsid w:val="00F72F69"/>
    <w:rsid w:val="00F737EB"/>
    <w:rsid w:val="00F74468"/>
    <w:rsid w:val="00F74E50"/>
    <w:rsid w:val="00F75F30"/>
    <w:rsid w:val="00F76A15"/>
    <w:rsid w:val="00F773CF"/>
    <w:rsid w:val="00F77450"/>
    <w:rsid w:val="00F830F9"/>
    <w:rsid w:val="00F83681"/>
    <w:rsid w:val="00F85B07"/>
    <w:rsid w:val="00F86573"/>
    <w:rsid w:val="00F87E75"/>
    <w:rsid w:val="00F916D2"/>
    <w:rsid w:val="00F95447"/>
    <w:rsid w:val="00F97C59"/>
    <w:rsid w:val="00FA0C36"/>
    <w:rsid w:val="00FA184E"/>
    <w:rsid w:val="00FA1DDF"/>
    <w:rsid w:val="00FA2EE2"/>
    <w:rsid w:val="00FB02F1"/>
    <w:rsid w:val="00FB27C7"/>
    <w:rsid w:val="00FB2BF2"/>
    <w:rsid w:val="00FB3947"/>
    <w:rsid w:val="00FB477B"/>
    <w:rsid w:val="00FB508B"/>
    <w:rsid w:val="00FC1F40"/>
    <w:rsid w:val="00FC28C6"/>
    <w:rsid w:val="00FC2A88"/>
    <w:rsid w:val="00FC32E9"/>
    <w:rsid w:val="00FC6714"/>
    <w:rsid w:val="00FC763E"/>
    <w:rsid w:val="00FD08F3"/>
    <w:rsid w:val="00FD2035"/>
    <w:rsid w:val="00FD24E9"/>
    <w:rsid w:val="00FD3DEF"/>
    <w:rsid w:val="00FD6427"/>
    <w:rsid w:val="00FD7418"/>
    <w:rsid w:val="00FE02E1"/>
    <w:rsid w:val="00FE11A3"/>
    <w:rsid w:val="00FE28FC"/>
    <w:rsid w:val="00FE3434"/>
    <w:rsid w:val="00FE3DFE"/>
    <w:rsid w:val="00FE4F21"/>
    <w:rsid w:val="00FE579B"/>
    <w:rsid w:val="00FF20FA"/>
    <w:rsid w:val="00FF48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AF6D87"/>
    <w:pPr>
      <w:widowControl w:val="0"/>
      <w:jc w:val="both"/>
    </w:pPr>
    <w:rPr>
      <w:rFonts w:ascii="Calibri" w:eastAsia="宋体" w:hAnsi="Calibri" w:cs="Times New Roman"/>
    </w:rPr>
  </w:style>
  <w:style w:type="paragraph" w:styleId="1">
    <w:name w:val="heading 1"/>
    <w:basedOn w:val="a9"/>
    <w:next w:val="a9"/>
    <w:link w:val="1Char"/>
    <w:uiPriority w:val="99"/>
    <w:qFormat/>
    <w:rsid w:val="00C12E84"/>
    <w:pPr>
      <w:keepNext/>
      <w:keepLines/>
      <w:spacing w:before="340" w:after="330" w:line="578" w:lineRule="auto"/>
      <w:outlineLvl w:val="0"/>
    </w:pPr>
    <w:rPr>
      <w:b/>
      <w:bCs/>
      <w:kern w:val="44"/>
      <w:sz w:val="44"/>
      <w:szCs w:val="44"/>
    </w:rPr>
  </w:style>
  <w:style w:type="paragraph" w:styleId="2">
    <w:name w:val="heading 2"/>
    <w:basedOn w:val="a9"/>
    <w:next w:val="a9"/>
    <w:link w:val="2Char"/>
    <w:uiPriority w:val="9"/>
    <w:unhideWhenUsed/>
    <w:qFormat/>
    <w:rsid w:val="00C12E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9"/>
    <w:next w:val="a9"/>
    <w:link w:val="3Char"/>
    <w:uiPriority w:val="9"/>
    <w:unhideWhenUsed/>
    <w:qFormat/>
    <w:rsid w:val="00424FBA"/>
    <w:pPr>
      <w:keepNext/>
      <w:keepLines/>
      <w:spacing w:before="260" w:after="260" w:line="416" w:lineRule="auto"/>
      <w:outlineLvl w:val="2"/>
    </w:pPr>
    <w:rPr>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Date"/>
    <w:basedOn w:val="a9"/>
    <w:next w:val="a9"/>
    <w:link w:val="Char"/>
    <w:uiPriority w:val="99"/>
    <w:semiHidden/>
    <w:unhideWhenUsed/>
    <w:rsid w:val="00AF6D87"/>
    <w:pPr>
      <w:ind w:leftChars="2500" w:left="100"/>
    </w:pPr>
  </w:style>
  <w:style w:type="character" w:customStyle="1" w:styleId="Char">
    <w:name w:val="日期 Char"/>
    <w:basedOn w:val="aa"/>
    <w:link w:val="ad"/>
    <w:uiPriority w:val="99"/>
    <w:semiHidden/>
    <w:rsid w:val="00AF6D87"/>
    <w:rPr>
      <w:rFonts w:ascii="Calibri" w:eastAsia="宋体" w:hAnsi="Calibri" w:cs="Times New Roman"/>
    </w:rPr>
  </w:style>
  <w:style w:type="character" w:customStyle="1" w:styleId="1Char">
    <w:name w:val="标题 1 Char"/>
    <w:basedOn w:val="aa"/>
    <w:link w:val="1"/>
    <w:uiPriority w:val="99"/>
    <w:rsid w:val="00C12E84"/>
    <w:rPr>
      <w:rFonts w:ascii="Calibri" w:eastAsia="宋体" w:hAnsi="Calibri" w:cs="Times New Roman"/>
      <w:b/>
      <w:bCs/>
      <w:kern w:val="44"/>
      <w:sz w:val="44"/>
      <w:szCs w:val="44"/>
    </w:rPr>
  </w:style>
  <w:style w:type="character" w:customStyle="1" w:styleId="2Char">
    <w:name w:val="标题 2 Char"/>
    <w:basedOn w:val="aa"/>
    <w:link w:val="2"/>
    <w:uiPriority w:val="9"/>
    <w:rsid w:val="00C12E84"/>
    <w:rPr>
      <w:rFonts w:asciiTheme="majorHAnsi" w:eastAsiaTheme="majorEastAsia" w:hAnsiTheme="majorHAnsi" w:cstheme="majorBidi"/>
      <w:b/>
      <w:bCs/>
      <w:sz w:val="32"/>
      <w:szCs w:val="32"/>
    </w:rPr>
  </w:style>
  <w:style w:type="paragraph" w:styleId="ae">
    <w:name w:val="header"/>
    <w:basedOn w:val="a9"/>
    <w:link w:val="Char0"/>
    <w:uiPriority w:val="99"/>
    <w:unhideWhenUsed/>
    <w:rsid w:val="00B95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a"/>
    <w:link w:val="ae"/>
    <w:uiPriority w:val="99"/>
    <w:rsid w:val="00B95FD3"/>
    <w:rPr>
      <w:rFonts w:ascii="Calibri" w:eastAsia="宋体" w:hAnsi="Calibri" w:cs="Times New Roman"/>
      <w:sz w:val="18"/>
      <w:szCs w:val="18"/>
    </w:rPr>
  </w:style>
  <w:style w:type="paragraph" w:styleId="af">
    <w:name w:val="footer"/>
    <w:basedOn w:val="a9"/>
    <w:link w:val="Char1"/>
    <w:uiPriority w:val="99"/>
    <w:unhideWhenUsed/>
    <w:rsid w:val="00B95FD3"/>
    <w:pPr>
      <w:tabs>
        <w:tab w:val="center" w:pos="4153"/>
        <w:tab w:val="right" w:pos="8306"/>
      </w:tabs>
      <w:snapToGrid w:val="0"/>
      <w:jc w:val="left"/>
    </w:pPr>
    <w:rPr>
      <w:sz w:val="18"/>
      <w:szCs w:val="18"/>
    </w:rPr>
  </w:style>
  <w:style w:type="character" w:customStyle="1" w:styleId="Char1">
    <w:name w:val="页脚 Char"/>
    <w:basedOn w:val="aa"/>
    <w:link w:val="af"/>
    <w:uiPriority w:val="99"/>
    <w:rsid w:val="00B95FD3"/>
    <w:rPr>
      <w:rFonts w:ascii="Calibri" w:eastAsia="宋体" w:hAnsi="Calibri" w:cs="Times New Roman"/>
      <w:sz w:val="18"/>
      <w:szCs w:val="18"/>
    </w:rPr>
  </w:style>
  <w:style w:type="character" w:styleId="af0">
    <w:name w:val="annotation reference"/>
    <w:basedOn w:val="aa"/>
    <w:uiPriority w:val="99"/>
    <w:semiHidden/>
    <w:unhideWhenUsed/>
    <w:rsid w:val="00E27DD0"/>
    <w:rPr>
      <w:sz w:val="21"/>
      <w:szCs w:val="21"/>
    </w:rPr>
  </w:style>
  <w:style w:type="paragraph" w:styleId="af1">
    <w:name w:val="annotation text"/>
    <w:basedOn w:val="a9"/>
    <w:link w:val="Char2"/>
    <w:uiPriority w:val="99"/>
    <w:semiHidden/>
    <w:unhideWhenUsed/>
    <w:rsid w:val="00E27DD0"/>
    <w:pPr>
      <w:jc w:val="left"/>
    </w:pPr>
  </w:style>
  <w:style w:type="character" w:customStyle="1" w:styleId="Char2">
    <w:name w:val="批注文字 Char"/>
    <w:basedOn w:val="aa"/>
    <w:link w:val="af1"/>
    <w:uiPriority w:val="99"/>
    <w:semiHidden/>
    <w:rsid w:val="00E27DD0"/>
    <w:rPr>
      <w:rFonts w:ascii="Calibri" w:eastAsia="宋体" w:hAnsi="Calibri" w:cs="Times New Roman"/>
    </w:rPr>
  </w:style>
  <w:style w:type="paragraph" w:styleId="af2">
    <w:name w:val="annotation subject"/>
    <w:basedOn w:val="af1"/>
    <w:next w:val="af1"/>
    <w:link w:val="Char3"/>
    <w:uiPriority w:val="99"/>
    <w:semiHidden/>
    <w:unhideWhenUsed/>
    <w:rsid w:val="00E27DD0"/>
    <w:rPr>
      <w:b/>
      <w:bCs/>
    </w:rPr>
  </w:style>
  <w:style w:type="character" w:customStyle="1" w:styleId="Char3">
    <w:name w:val="批注主题 Char"/>
    <w:basedOn w:val="Char2"/>
    <w:link w:val="af2"/>
    <w:uiPriority w:val="99"/>
    <w:semiHidden/>
    <w:rsid w:val="00E27DD0"/>
    <w:rPr>
      <w:rFonts w:ascii="Calibri" w:eastAsia="宋体" w:hAnsi="Calibri" w:cs="Times New Roman"/>
      <w:b/>
      <w:bCs/>
    </w:rPr>
  </w:style>
  <w:style w:type="paragraph" w:styleId="af3">
    <w:name w:val="Balloon Text"/>
    <w:basedOn w:val="a9"/>
    <w:link w:val="Char4"/>
    <w:uiPriority w:val="99"/>
    <w:semiHidden/>
    <w:unhideWhenUsed/>
    <w:rsid w:val="00E27DD0"/>
    <w:rPr>
      <w:sz w:val="18"/>
      <w:szCs w:val="18"/>
    </w:rPr>
  </w:style>
  <w:style w:type="character" w:customStyle="1" w:styleId="Char4">
    <w:name w:val="批注框文本 Char"/>
    <w:basedOn w:val="aa"/>
    <w:link w:val="af3"/>
    <w:uiPriority w:val="99"/>
    <w:semiHidden/>
    <w:rsid w:val="00E27DD0"/>
    <w:rPr>
      <w:rFonts w:ascii="Calibri" w:eastAsia="宋体" w:hAnsi="Calibri" w:cs="Times New Roman"/>
      <w:sz w:val="18"/>
      <w:szCs w:val="18"/>
    </w:rPr>
  </w:style>
  <w:style w:type="paragraph" w:styleId="TOC">
    <w:name w:val="TOC Heading"/>
    <w:basedOn w:val="1"/>
    <w:next w:val="a9"/>
    <w:uiPriority w:val="39"/>
    <w:unhideWhenUsed/>
    <w:qFormat/>
    <w:rsid w:val="0001263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9"/>
    <w:next w:val="a9"/>
    <w:autoRedefine/>
    <w:uiPriority w:val="39"/>
    <w:unhideWhenUsed/>
    <w:rsid w:val="00E1066C"/>
    <w:pPr>
      <w:tabs>
        <w:tab w:val="right" w:leader="dot" w:pos="8296"/>
      </w:tabs>
      <w:snapToGrid w:val="0"/>
      <w:spacing w:beforeLines="50" w:line="360" w:lineRule="auto"/>
      <w:jc w:val="left"/>
    </w:pPr>
    <w:rPr>
      <w:rFonts w:ascii="Times New Roman" w:eastAsia="仿宋_GB2312" w:hAnsi="Times New Roman"/>
      <w:b/>
      <w:noProof/>
      <w:szCs w:val="24"/>
    </w:rPr>
  </w:style>
  <w:style w:type="paragraph" w:styleId="20">
    <w:name w:val="toc 2"/>
    <w:basedOn w:val="a9"/>
    <w:next w:val="a9"/>
    <w:autoRedefine/>
    <w:uiPriority w:val="39"/>
    <w:unhideWhenUsed/>
    <w:rsid w:val="001246DB"/>
    <w:pPr>
      <w:tabs>
        <w:tab w:val="right" w:leader="dot" w:pos="8296"/>
      </w:tabs>
      <w:spacing w:line="480" w:lineRule="auto"/>
      <w:ind w:leftChars="200" w:left="420"/>
    </w:pPr>
  </w:style>
  <w:style w:type="character" w:styleId="af4">
    <w:name w:val="Hyperlink"/>
    <w:basedOn w:val="aa"/>
    <w:uiPriority w:val="99"/>
    <w:unhideWhenUsed/>
    <w:rsid w:val="00012634"/>
    <w:rPr>
      <w:color w:val="0563C1" w:themeColor="hyperlink"/>
      <w:u w:val="single"/>
    </w:rPr>
  </w:style>
  <w:style w:type="paragraph" w:styleId="af5">
    <w:name w:val="List Paragraph"/>
    <w:basedOn w:val="a9"/>
    <w:uiPriority w:val="34"/>
    <w:qFormat/>
    <w:rsid w:val="00BF7D15"/>
    <w:pPr>
      <w:ind w:firstLineChars="200" w:firstLine="420"/>
    </w:pPr>
  </w:style>
  <w:style w:type="table" w:styleId="af6">
    <w:name w:val="Table Grid"/>
    <w:basedOn w:val="ab"/>
    <w:uiPriority w:val="39"/>
    <w:rsid w:val="00A04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三级无"/>
    <w:basedOn w:val="a9"/>
    <w:rsid w:val="009D48BF"/>
    <w:pPr>
      <w:widowControl/>
      <w:numPr>
        <w:ilvl w:val="3"/>
        <w:numId w:val="6"/>
      </w:numPr>
      <w:tabs>
        <w:tab w:val="clear" w:pos="0"/>
        <w:tab w:val="num" w:pos="360"/>
      </w:tabs>
      <w:spacing w:before="50" w:after="50"/>
      <w:ind w:left="426" w:firstLine="0"/>
      <w:jc w:val="left"/>
      <w:outlineLvl w:val="4"/>
    </w:pPr>
    <w:rPr>
      <w:rFonts w:ascii="宋体" w:hAnsi="Times New Roman"/>
      <w:kern w:val="0"/>
      <w:szCs w:val="21"/>
    </w:rPr>
  </w:style>
  <w:style w:type="paragraph" w:customStyle="1" w:styleId="a">
    <w:name w:val="注×："/>
    <w:rsid w:val="009D48BF"/>
    <w:pPr>
      <w:widowControl w:val="0"/>
      <w:numPr>
        <w:numId w:val="6"/>
      </w:numPr>
      <w:autoSpaceDE w:val="0"/>
      <w:autoSpaceDN w:val="0"/>
      <w:jc w:val="both"/>
    </w:pPr>
    <w:rPr>
      <w:rFonts w:ascii="宋体" w:eastAsia="宋体" w:hAnsi="Times New Roman" w:cs="Times New Roman"/>
      <w:kern w:val="0"/>
      <w:sz w:val="18"/>
      <w:szCs w:val="18"/>
    </w:rPr>
  </w:style>
  <w:style w:type="paragraph" w:customStyle="1" w:styleId="a0">
    <w:name w:val="一级无"/>
    <w:basedOn w:val="a9"/>
    <w:rsid w:val="009D48BF"/>
    <w:pPr>
      <w:widowControl/>
      <w:numPr>
        <w:ilvl w:val="1"/>
        <w:numId w:val="6"/>
      </w:numPr>
      <w:tabs>
        <w:tab w:val="clear" w:pos="0"/>
        <w:tab w:val="num" w:pos="360"/>
      </w:tabs>
      <w:ind w:left="1276" w:firstLine="0"/>
      <w:jc w:val="left"/>
      <w:outlineLvl w:val="2"/>
    </w:pPr>
    <w:rPr>
      <w:rFonts w:ascii="宋体" w:hAnsi="Times New Roman"/>
      <w:kern w:val="0"/>
      <w:szCs w:val="21"/>
    </w:rPr>
  </w:style>
  <w:style w:type="paragraph" w:customStyle="1" w:styleId="a3">
    <w:name w:val="一级条标题"/>
    <w:next w:val="a9"/>
    <w:rsid w:val="009D48BF"/>
    <w:pPr>
      <w:numPr>
        <w:ilvl w:val="1"/>
        <w:numId w:val="7"/>
      </w:numPr>
      <w:spacing w:beforeLines="50" w:afterLines="50"/>
      <w:outlineLvl w:val="2"/>
    </w:pPr>
    <w:rPr>
      <w:rFonts w:ascii="黑体" w:eastAsia="黑体" w:hAnsi="Times New Roman" w:cs="Times New Roman"/>
      <w:kern w:val="0"/>
      <w:szCs w:val="21"/>
    </w:rPr>
  </w:style>
  <w:style w:type="paragraph" w:customStyle="1" w:styleId="a2">
    <w:name w:val="章标题"/>
    <w:next w:val="a9"/>
    <w:rsid w:val="009D48BF"/>
    <w:pPr>
      <w:numPr>
        <w:numId w:val="7"/>
      </w:numPr>
      <w:spacing w:beforeLines="100" w:afterLines="100"/>
      <w:jc w:val="both"/>
      <w:outlineLvl w:val="1"/>
    </w:pPr>
    <w:rPr>
      <w:rFonts w:ascii="黑体" w:eastAsia="黑体" w:hAnsi="Times New Roman" w:cs="Times New Roman"/>
      <w:kern w:val="0"/>
      <w:szCs w:val="20"/>
    </w:rPr>
  </w:style>
  <w:style w:type="paragraph" w:customStyle="1" w:styleId="a4">
    <w:name w:val="二级条标题"/>
    <w:basedOn w:val="a3"/>
    <w:next w:val="a9"/>
    <w:rsid w:val="009D48BF"/>
    <w:pPr>
      <w:numPr>
        <w:ilvl w:val="2"/>
      </w:numPr>
      <w:spacing w:before="50" w:after="50"/>
      <w:outlineLvl w:val="3"/>
    </w:pPr>
  </w:style>
  <w:style w:type="paragraph" w:customStyle="1" w:styleId="a5">
    <w:name w:val="三级条标题"/>
    <w:basedOn w:val="a4"/>
    <w:next w:val="a9"/>
    <w:rsid w:val="009D48BF"/>
    <w:pPr>
      <w:numPr>
        <w:ilvl w:val="3"/>
      </w:numPr>
      <w:outlineLvl w:val="4"/>
    </w:pPr>
  </w:style>
  <w:style w:type="paragraph" w:customStyle="1" w:styleId="a6">
    <w:name w:val="四级条标题"/>
    <w:basedOn w:val="a5"/>
    <w:next w:val="a9"/>
    <w:rsid w:val="009D48BF"/>
    <w:pPr>
      <w:numPr>
        <w:ilvl w:val="4"/>
      </w:numPr>
      <w:outlineLvl w:val="5"/>
    </w:pPr>
  </w:style>
  <w:style w:type="paragraph" w:customStyle="1" w:styleId="a7">
    <w:name w:val="五级条标题"/>
    <w:basedOn w:val="a6"/>
    <w:next w:val="a9"/>
    <w:rsid w:val="009D48BF"/>
    <w:pPr>
      <w:numPr>
        <w:ilvl w:val="5"/>
      </w:numPr>
      <w:outlineLvl w:val="6"/>
    </w:pPr>
  </w:style>
  <w:style w:type="paragraph" w:customStyle="1" w:styleId="af7">
    <w:name w:val="正文表标题"/>
    <w:next w:val="a9"/>
    <w:rsid w:val="009D48BF"/>
    <w:pPr>
      <w:tabs>
        <w:tab w:val="num" w:pos="360"/>
      </w:tabs>
      <w:spacing w:beforeLines="50" w:afterLines="50"/>
      <w:ind w:left="3544"/>
      <w:jc w:val="center"/>
    </w:pPr>
    <w:rPr>
      <w:rFonts w:ascii="黑体" w:eastAsia="黑体" w:hAnsi="Times New Roman" w:cs="Times New Roman"/>
      <w:kern w:val="0"/>
      <w:szCs w:val="20"/>
    </w:rPr>
  </w:style>
  <w:style w:type="paragraph" w:customStyle="1" w:styleId="a8">
    <w:name w:val="正文图标题"/>
    <w:next w:val="a9"/>
    <w:rsid w:val="009D48BF"/>
    <w:pPr>
      <w:numPr>
        <w:numId w:val="9"/>
      </w:numPr>
      <w:tabs>
        <w:tab w:val="num" w:pos="360"/>
      </w:tabs>
      <w:spacing w:beforeLines="50" w:afterLines="50"/>
      <w:ind w:left="0"/>
      <w:jc w:val="center"/>
    </w:pPr>
    <w:rPr>
      <w:rFonts w:ascii="黑体" w:eastAsia="黑体" w:hAnsi="Times New Roman" w:cs="Times New Roman"/>
      <w:kern w:val="0"/>
      <w:szCs w:val="20"/>
    </w:rPr>
  </w:style>
  <w:style w:type="character" w:customStyle="1" w:styleId="Char5">
    <w:name w:val="段 Char"/>
    <w:basedOn w:val="aa"/>
    <w:link w:val="af8"/>
    <w:rsid w:val="00C470CC"/>
    <w:rPr>
      <w:rFonts w:ascii="宋体"/>
    </w:rPr>
  </w:style>
  <w:style w:type="paragraph" w:customStyle="1" w:styleId="af8">
    <w:name w:val="段"/>
    <w:link w:val="Char5"/>
    <w:rsid w:val="00C470CC"/>
    <w:pPr>
      <w:tabs>
        <w:tab w:val="center" w:pos="4201"/>
        <w:tab w:val="right" w:leader="dot" w:pos="9298"/>
      </w:tabs>
      <w:autoSpaceDE w:val="0"/>
      <w:autoSpaceDN w:val="0"/>
      <w:ind w:firstLineChars="200" w:firstLine="420"/>
      <w:jc w:val="both"/>
    </w:pPr>
    <w:rPr>
      <w:rFonts w:ascii="宋体"/>
    </w:rPr>
  </w:style>
  <w:style w:type="paragraph" w:styleId="af9">
    <w:name w:val="caption"/>
    <w:basedOn w:val="a9"/>
    <w:next w:val="a9"/>
    <w:uiPriority w:val="35"/>
    <w:unhideWhenUsed/>
    <w:qFormat/>
    <w:rsid w:val="00984CE1"/>
    <w:rPr>
      <w:rFonts w:asciiTheme="majorHAnsi" w:eastAsia="黑体" w:hAnsiTheme="majorHAnsi" w:cstheme="majorBidi"/>
      <w:sz w:val="20"/>
      <w:szCs w:val="20"/>
    </w:rPr>
  </w:style>
  <w:style w:type="character" w:customStyle="1" w:styleId="3Char">
    <w:name w:val="标题 3 Char"/>
    <w:basedOn w:val="aa"/>
    <w:link w:val="3"/>
    <w:uiPriority w:val="9"/>
    <w:rsid w:val="00424FBA"/>
    <w:rPr>
      <w:rFonts w:ascii="Calibri" w:eastAsia="宋体" w:hAnsi="Calibri" w:cs="Times New Roman"/>
      <w:b/>
      <w:bCs/>
      <w:sz w:val="32"/>
      <w:szCs w:val="32"/>
    </w:rPr>
  </w:style>
  <w:style w:type="paragraph" w:styleId="30">
    <w:name w:val="toc 3"/>
    <w:basedOn w:val="a9"/>
    <w:next w:val="a9"/>
    <w:autoRedefine/>
    <w:uiPriority w:val="39"/>
    <w:unhideWhenUsed/>
    <w:rsid w:val="00424FBA"/>
    <w:pPr>
      <w:ind w:leftChars="400" w:left="840"/>
    </w:pPr>
  </w:style>
  <w:style w:type="paragraph" w:styleId="afa">
    <w:name w:val="Normal (Web)"/>
    <w:basedOn w:val="a9"/>
    <w:uiPriority w:val="99"/>
    <w:semiHidden/>
    <w:unhideWhenUsed/>
    <w:rsid w:val="00DF351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14241">
      <w:bodyDiv w:val="1"/>
      <w:marLeft w:val="0"/>
      <w:marRight w:val="0"/>
      <w:marTop w:val="0"/>
      <w:marBottom w:val="0"/>
      <w:divBdr>
        <w:top w:val="none" w:sz="0" w:space="0" w:color="auto"/>
        <w:left w:val="none" w:sz="0" w:space="0" w:color="auto"/>
        <w:bottom w:val="none" w:sz="0" w:space="0" w:color="auto"/>
        <w:right w:val="none" w:sz="0" w:space="0" w:color="auto"/>
      </w:divBdr>
    </w:div>
    <w:div w:id="64881695">
      <w:bodyDiv w:val="1"/>
      <w:marLeft w:val="0"/>
      <w:marRight w:val="0"/>
      <w:marTop w:val="0"/>
      <w:marBottom w:val="0"/>
      <w:divBdr>
        <w:top w:val="none" w:sz="0" w:space="0" w:color="auto"/>
        <w:left w:val="none" w:sz="0" w:space="0" w:color="auto"/>
        <w:bottom w:val="none" w:sz="0" w:space="0" w:color="auto"/>
        <w:right w:val="none" w:sz="0" w:space="0" w:color="auto"/>
      </w:divBdr>
    </w:div>
    <w:div w:id="73206922">
      <w:bodyDiv w:val="1"/>
      <w:marLeft w:val="0"/>
      <w:marRight w:val="0"/>
      <w:marTop w:val="0"/>
      <w:marBottom w:val="0"/>
      <w:divBdr>
        <w:top w:val="none" w:sz="0" w:space="0" w:color="auto"/>
        <w:left w:val="none" w:sz="0" w:space="0" w:color="auto"/>
        <w:bottom w:val="none" w:sz="0" w:space="0" w:color="auto"/>
        <w:right w:val="none" w:sz="0" w:space="0" w:color="auto"/>
      </w:divBdr>
    </w:div>
    <w:div w:id="122846909">
      <w:bodyDiv w:val="1"/>
      <w:marLeft w:val="0"/>
      <w:marRight w:val="0"/>
      <w:marTop w:val="0"/>
      <w:marBottom w:val="0"/>
      <w:divBdr>
        <w:top w:val="none" w:sz="0" w:space="0" w:color="auto"/>
        <w:left w:val="none" w:sz="0" w:space="0" w:color="auto"/>
        <w:bottom w:val="none" w:sz="0" w:space="0" w:color="auto"/>
        <w:right w:val="none" w:sz="0" w:space="0" w:color="auto"/>
      </w:divBdr>
    </w:div>
    <w:div w:id="275872753">
      <w:bodyDiv w:val="1"/>
      <w:marLeft w:val="0"/>
      <w:marRight w:val="0"/>
      <w:marTop w:val="0"/>
      <w:marBottom w:val="0"/>
      <w:divBdr>
        <w:top w:val="none" w:sz="0" w:space="0" w:color="auto"/>
        <w:left w:val="none" w:sz="0" w:space="0" w:color="auto"/>
        <w:bottom w:val="none" w:sz="0" w:space="0" w:color="auto"/>
        <w:right w:val="none" w:sz="0" w:space="0" w:color="auto"/>
      </w:divBdr>
    </w:div>
    <w:div w:id="373777362">
      <w:bodyDiv w:val="1"/>
      <w:marLeft w:val="0"/>
      <w:marRight w:val="0"/>
      <w:marTop w:val="0"/>
      <w:marBottom w:val="0"/>
      <w:divBdr>
        <w:top w:val="none" w:sz="0" w:space="0" w:color="auto"/>
        <w:left w:val="none" w:sz="0" w:space="0" w:color="auto"/>
        <w:bottom w:val="none" w:sz="0" w:space="0" w:color="auto"/>
        <w:right w:val="none" w:sz="0" w:space="0" w:color="auto"/>
      </w:divBdr>
    </w:div>
    <w:div w:id="454715959">
      <w:bodyDiv w:val="1"/>
      <w:marLeft w:val="0"/>
      <w:marRight w:val="0"/>
      <w:marTop w:val="0"/>
      <w:marBottom w:val="0"/>
      <w:divBdr>
        <w:top w:val="none" w:sz="0" w:space="0" w:color="auto"/>
        <w:left w:val="none" w:sz="0" w:space="0" w:color="auto"/>
        <w:bottom w:val="none" w:sz="0" w:space="0" w:color="auto"/>
        <w:right w:val="none" w:sz="0" w:space="0" w:color="auto"/>
      </w:divBdr>
    </w:div>
    <w:div w:id="457535350">
      <w:bodyDiv w:val="1"/>
      <w:marLeft w:val="0"/>
      <w:marRight w:val="0"/>
      <w:marTop w:val="0"/>
      <w:marBottom w:val="0"/>
      <w:divBdr>
        <w:top w:val="none" w:sz="0" w:space="0" w:color="auto"/>
        <w:left w:val="none" w:sz="0" w:space="0" w:color="auto"/>
        <w:bottom w:val="none" w:sz="0" w:space="0" w:color="auto"/>
        <w:right w:val="none" w:sz="0" w:space="0" w:color="auto"/>
      </w:divBdr>
    </w:div>
    <w:div w:id="464006600">
      <w:bodyDiv w:val="1"/>
      <w:marLeft w:val="0"/>
      <w:marRight w:val="0"/>
      <w:marTop w:val="0"/>
      <w:marBottom w:val="0"/>
      <w:divBdr>
        <w:top w:val="none" w:sz="0" w:space="0" w:color="auto"/>
        <w:left w:val="none" w:sz="0" w:space="0" w:color="auto"/>
        <w:bottom w:val="none" w:sz="0" w:space="0" w:color="auto"/>
        <w:right w:val="none" w:sz="0" w:space="0" w:color="auto"/>
      </w:divBdr>
    </w:div>
    <w:div w:id="557472970">
      <w:bodyDiv w:val="1"/>
      <w:marLeft w:val="0"/>
      <w:marRight w:val="0"/>
      <w:marTop w:val="0"/>
      <w:marBottom w:val="0"/>
      <w:divBdr>
        <w:top w:val="none" w:sz="0" w:space="0" w:color="auto"/>
        <w:left w:val="none" w:sz="0" w:space="0" w:color="auto"/>
        <w:bottom w:val="none" w:sz="0" w:space="0" w:color="auto"/>
        <w:right w:val="none" w:sz="0" w:space="0" w:color="auto"/>
      </w:divBdr>
    </w:div>
    <w:div w:id="592323361">
      <w:bodyDiv w:val="1"/>
      <w:marLeft w:val="0"/>
      <w:marRight w:val="0"/>
      <w:marTop w:val="0"/>
      <w:marBottom w:val="0"/>
      <w:divBdr>
        <w:top w:val="none" w:sz="0" w:space="0" w:color="auto"/>
        <w:left w:val="none" w:sz="0" w:space="0" w:color="auto"/>
        <w:bottom w:val="none" w:sz="0" w:space="0" w:color="auto"/>
        <w:right w:val="none" w:sz="0" w:space="0" w:color="auto"/>
      </w:divBdr>
    </w:div>
    <w:div w:id="784152323">
      <w:bodyDiv w:val="1"/>
      <w:marLeft w:val="0"/>
      <w:marRight w:val="0"/>
      <w:marTop w:val="0"/>
      <w:marBottom w:val="0"/>
      <w:divBdr>
        <w:top w:val="none" w:sz="0" w:space="0" w:color="auto"/>
        <w:left w:val="none" w:sz="0" w:space="0" w:color="auto"/>
        <w:bottom w:val="none" w:sz="0" w:space="0" w:color="auto"/>
        <w:right w:val="none" w:sz="0" w:space="0" w:color="auto"/>
      </w:divBdr>
    </w:div>
    <w:div w:id="857348394">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975766609">
      <w:bodyDiv w:val="1"/>
      <w:marLeft w:val="0"/>
      <w:marRight w:val="0"/>
      <w:marTop w:val="0"/>
      <w:marBottom w:val="0"/>
      <w:divBdr>
        <w:top w:val="none" w:sz="0" w:space="0" w:color="auto"/>
        <w:left w:val="none" w:sz="0" w:space="0" w:color="auto"/>
        <w:bottom w:val="none" w:sz="0" w:space="0" w:color="auto"/>
        <w:right w:val="none" w:sz="0" w:space="0" w:color="auto"/>
      </w:divBdr>
    </w:div>
    <w:div w:id="997028228">
      <w:bodyDiv w:val="1"/>
      <w:marLeft w:val="0"/>
      <w:marRight w:val="0"/>
      <w:marTop w:val="0"/>
      <w:marBottom w:val="0"/>
      <w:divBdr>
        <w:top w:val="none" w:sz="0" w:space="0" w:color="auto"/>
        <w:left w:val="none" w:sz="0" w:space="0" w:color="auto"/>
        <w:bottom w:val="none" w:sz="0" w:space="0" w:color="auto"/>
        <w:right w:val="none" w:sz="0" w:space="0" w:color="auto"/>
      </w:divBdr>
    </w:div>
    <w:div w:id="1056584331">
      <w:bodyDiv w:val="1"/>
      <w:marLeft w:val="0"/>
      <w:marRight w:val="0"/>
      <w:marTop w:val="0"/>
      <w:marBottom w:val="0"/>
      <w:divBdr>
        <w:top w:val="none" w:sz="0" w:space="0" w:color="auto"/>
        <w:left w:val="none" w:sz="0" w:space="0" w:color="auto"/>
        <w:bottom w:val="none" w:sz="0" w:space="0" w:color="auto"/>
        <w:right w:val="none" w:sz="0" w:space="0" w:color="auto"/>
      </w:divBdr>
    </w:div>
    <w:div w:id="1059132287">
      <w:bodyDiv w:val="1"/>
      <w:marLeft w:val="0"/>
      <w:marRight w:val="0"/>
      <w:marTop w:val="0"/>
      <w:marBottom w:val="0"/>
      <w:divBdr>
        <w:top w:val="none" w:sz="0" w:space="0" w:color="auto"/>
        <w:left w:val="none" w:sz="0" w:space="0" w:color="auto"/>
        <w:bottom w:val="none" w:sz="0" w:space="0" w:color="auto"/>
        <w:right w:val="none" w:sz="0" w:space="0" w:color="auto"/>
      </w:divBdr>
    </w:div>
    <w:div w:id="1060641200">
      <w:bodyDiv w:val="1"/>
      <w:marLeft w:val="0"/>
      <w:marRight w:val="0"/>
      <w:marTop w:val="0"/>
      <w:marBottom w:val="0"/>
      <w:divBdr>
        <w:top w:val="none" w:sz="0" w:space="0" w:color="auto"/>
        <w:left w:val="none" w:sz="0" w:space="0" w:color="auto"/>
        <w:bottom w:val="none" w:sz="0" w:space="0" w:color="auto"/>
        <w:right w:val="none" w:sz="0" w:space="0" w:color="auto"/>
      </w:divBdr>
    </w:div>
    <w:div w:id="1077942762">
      <w:bodyDiv w:val="1"/>
      <w:marLeft w:val="0"/>
      <w:marRight w:val="0"/>
      <w:marTop w:val="0"/>
      <w:marBottom w:val="0"/>
      <w:divBdr>
        <w:top w:val="none" w:sz="0" w:space="0" w:color="auto"/>
        <w:left w:val="none" w:sz="0" w:space="0" w:color="auto"/>
        <w:bottom w:val="none" w:sz="0" w:space="0" w:color="auto"/>
        <w:right w:val="none" w:sz="0" w:space="0" w:color="auto"/>
      </w:divBdr>
    </w:div>
    <w:div w:id="1192958886">
      <w:bodyDiv w:val="1"/>
      <w:marLeft w:val="0"/>
      <w:marRight w:val="0"/>
      <w:marTop w:val="0"/>
      <w:marBottom w:val="0"/>
      <w:divBdr>
        <w:top w:val="none" w:sz="0" w:space="0" w:color="auto"/>
        <w:left w:val="none" w:sz="0" w:space="0" w:color="auto"/>
        <w:bottom w:val="none" w:sz="0" w:space="0" w:color="auto"/>
        <w:right w:val="none" w:sz="0" w:space="0" w:color="auto"/>
      </w:divBdr>
    </w:div>
    <w:div w:id="1207641624">
      <w:bodyDiv w:val="1"/>
      <w:marLeft w:val="0"/>
      <w:marRight w:val="0"/>
      <w:marTop w:val="0"/>
      <w:marBottom w:val="0"/>
      <w:divBdr>
        <w:top w:val="none" w:sz="0" w:space="0" w:color="auto"/>
        <w:left w:val="none" w:sz="0" w:space="0" w:color="auto"/>
        <w:bottom w:val="none" w:sz="0" w:space="0" w:color="auto"/>
        <w:right w:val="none" w:sz="0" w:space="0" w:color="auto"/>
      </w:divBdr>
    </w:div>
    <w:div w:id="1294942898">
      <w:bodyDiv w:val="1"/>
      <w:marLeft w:val="0"/>
      <w:marRight w:val="0"/>
      <w:marTop w:val="0"/>
      <w:marBottom w:val="0"/>
      <w:divBdr>
        <w:top w:val="none" w:sz="0" w:space="0" w:color="auto"/>
        <w:left w:val="none" w:sz="0" w:space="0" w:color="auto"/>
        <w:bottom w:val="none" w:sz="0" w:space="0" w:color="auto"/>
        <w:right w:val="none" w:sz="0" w:space="0" w:color="auto"/>
      </w:divBdr>
    </w:div>
    <w:div w:id="1324166582">
      <w:bodyDiv w:val="1"/>
      <w:marLeft w:val="0"/>
      <w:marRight w:val="0"/>
      <w:marTop w:val="0"/>
      <w:marBottom w:val="0"/>
      <w:divBdr>
        <w:top w:val="none" w:sz="0" w:space="0" w:color="auto"/>
        <w:left w:val="none" w:sz="0" w:space="0" w:color="auto"/>
        <w:bottom w:val="none" w:sz="0" w:space="0" w:color="auto"/>
        <w:right w:val="none" w:sz="0" w:space="0" w:color="auto"/>
      </w:divBdr>
    </w:div>
    <w:div w:id="1448311386">
      <w:bodyDiv w:val="1"/>
      <w:marLeft w:val="0"/>
      <w:marRight w:val="0"/>
      <w:marTop w:val="0"/>
      <w:marBottom w:val="0"/>
      <w:divBdr>
        <w:top w:val="none" w:sz="0" w:space="0" w:color="auto"/>
        <w:left w:val="none" w:sz="0" w:space="0" w:color="auto"/>
        <w:bottom w:val="none" w:sz="0" w:space="0" w:color="auto"/>
        <w:right w:val="none" w:sz="0" w:space="0" w:color="auto"/>
      </w:divBdr>
    </w:div>
    <w:div w:id="1622344697">
      <w:bodyDiv w:val="1"/>
      <w:marLeft w:val="0"/>
      <w:marRight w:val="0"/>
      <w:marTop w:val="0"/>
      <w:marBottom w:val="0"/>
      <w:divBdr>
        <w:top w:val="none" w:sz="0" w:space="0" w:color="auto"/>
        <w:left w:val="none" w:sz="0" w:space="0" w:color="auto"/>
        <w:bottom w:val="none" w:sz="0" w:space="0" w:color="auto"/>
        <w:right w:val="none" w:sz="0" w:space="0" w:color="auto"/>
      </w:divBdr>
    </w:div>
    <w:div w:id="1663193622">
      <w:bodyDiv w:val="1"/>
      <w:marLeft w:val="0"/>
      <w:marRight w:val="0"/>
      <w:marTop w:val="0"/>
      <w:marBottom w:val="0"/>
      <w:divBdr>
        <w:top w:val="none" w:sz="0" w:space="0" w:color="auto"/>
        <w:left w:val="none" w:sz="0" w:space="0" w:color="auto"/>
        <w:bottom w:val="none" w:sz="0" w:space="0" w:color="auto"/>
        <w:right w:val="none" w:sz="0" w:space="0" w:color="auto"/>
      </w:divBdr>
    </w:div>
    <w:div w:id="1684550595">
      <w:bodyDiv w:val="1"/>
      <w:marLeft w:val="0"/>
      <w:marRight w:val="0"/>
      <w:marTop w:val="0"/>
      <w:marBottom w:val="0"/>
      <w:divBdr>
        <w:top w:val="none" w:sz="0" w:space="0" w:color="auto"/>
        <w:left w:val="none" w:sz="0" w:space="0" w:color="auto"/>
        <w:bottom w:val="none" w:sz="0" w:space="0" w:color="auto"/>
        <w:right w:val="none" w:sz="0" w:space="0" w:color="auto"/>
      </w:divBdr>
    </w:div>
    <w:div w:id="1824345473">
      <w:bodyDiv w:val="1"/>
      <w:marLeft w:val="0"/>
      <w:marRight w:val="0"/>
      <w:marTop w:val="0"/>
      <w:marBottom w:val="0"/>
      <w:divBdr>
        <w:top w:val="none" w:sz="0" w:space="0" w:color="auto"/>
        <w:left w:val="none" w:sz="0" w:space="0" w:color="auto"/>
        <w:bottom w:val="none" w:sz="0" w:space="0" w:color="auto"/>
        <w:right w:val="none" w:sz="0" w:space="0" w:color="auto"/>
      </w:divBdr>
    </w:div>
    <w:div w:id="1844739628">
      <w:bodyDiv w:val="1"/>
      <w:marLeft w:val="0"/>
      <w:marRight w:val="0"/>
      <w:marTop w:val="0"/>
      <w:marBottom w:val="0"/>
      <w:divBdr>
        <w:top w:val="none" w:sz="0" w:space="0" w:color="auto"/>
        <w:left w:val="none" w:sz="0" w:space="0" w:color="auto"/>
        <w:bottom w:val="none" w:sz="0" w:space="0" w:color="auto"/>
        <w:right w:val="none" w:sz="0" w:space="0" w:color="auto"/>
      </w:divBdr>
    </w:div>
    <w:div w:id="1928689803">
      <w:bodyDiv w:val="1"/>
      <w:marLeft w:val="0"/>
      <w:marRight w:val="0"/>
      <w:marTop w:val="0"/>
      <w:marBottom w:val="0"/>
      <w:divBdr>
        <w:top w:val="none" w:sz="0" w:space="0" w:color="auto"/>
        <w:left w:val="none" w:sz="0" w:space="0" w:color="auto"/>
        <w:bottom w:val="none" w:sz="0" w:space="0" w:color="auto"/>
        <w:right w:val="none" w:sz="0" w:space="0" w:color="auto"/>
      </w:divBdr>
    </w:div>
    <w:div w:id="1946157528">
      <w:bodyDiv w:val="1"/>
      <w:marLeft w:val="0"/>
      <w:marRight w:val="0"/>
      <w:marTop w:val="0"/>
      <w:marBottom w:val="0"/>
      <w:divBdr>
        <w:top w:val="none" w:sz="0" w:space="0" w:color="auto"/>
        <w:left w:val="none" w:sz="0" w:space="0" w:color="auto"/>
        <w:bottom w:val="none" w:sz="0" w:space="0" w:color="auto"/>
        <w:right w:val="none" w:sz="0" w:space="0" w:color="auto"/>
      </w:divBdr>
    </w:div>
    <w:div w:id="1950886947">
      <w:bodyDiv w:val="1"/>
      <w:marLeft w:val="0"/>
      <w:marRight w:val="0"/>
      <w:marTop w:val="0"/>
      <w:marBottom w:val="0"/>
      <w:divBdr>
        <w:top w:val="none" w:sz="0" w:space="0" w:color="auto"/>
        <w:left w:val="none" w:sz="0" w:space="0" w:color="auto"/>
        <w:bottom w:val="none" w:sz="0" w:space="0" w:color="auto"/>
        <w:right w:val="none" w:sz="0" w:space="0" w:color="auto"/>
      </w:divBdr>
    </w:div>
    <w:div w:id="1975138240">
      <w:bodyDiv w:val="1"/>
      <w:marLeft w:val="0"/>
      <w:marRight w:val="0"/>
      <w:marTop w:val="0"/>
      <w:marBottom w:val="0"/>
      <w:divBdr>
        <w:top w:val="none" w:sz="0" w:space="0" w:color="auto"/>
        <w:left w:val="none" w:sz="0" w:space="0" w:color="auto"/>
        <w:bottom w:val="none" w:sz="0" w:space="0" w:color="auto"/>
        <w:right w:val="none" w:sz="0" w:space="0" w:color="auto"/>
      </w:divBdr>
    </w:div>
    <w:div w:id="2019841253">
      <w:bodyDiv w:val="1"/>
      <w:marLeft w:val="0"/>
      <w:marRight w:val="0"/>
      <w:marTop w:val="0"/>
      <w:marBottom w:val="0"/>
      <w:divBdr>
        <w:top w:val="none" w:sz="0" w:space="0" w:color="auto"/>
        <w:left w:val="none" w:sz="0" w:space="0" w:color="auto"/>
        <w:bottom w:val="none" w:sz="0" w:space="0" w:color="auto"/>
        <w:right w:val="none" w:sz="0" w:space="0" w:color="auto"/>
      </w:divBdr>
    </w:div>
    <w:div w:id="2071921713">
      <w:bodyDiv w:val="1"/>
      <w:marLeft w:val="0"/>
      <w:marRight w:val="0"/>
      <w:marTop w:val="0"/>
      <w:marBottom w:val="0"/>
      <w:divBdr>
        <w:top w:val="none" w:sz="0" w:space="0" w:color="auto"/>
        <w:left w:val="none" w:sz="0" w:space="0" w:color="auto"/>
        <w:bottom w:val="none" w:sz="0" w:space="0" w:color="auto"/>
        <w:right w:val="none" w:sz="0" w:space="0" w:color="auto"/>
      </w:divBdr>
    </w:div>
    <w:div w:id="2078358084">
      <w:bodyDiv w:val="1"/>
      <w:marLeft w:val="0"/>
      <w:marRight w:val="0"/>
      <w:marTop w:val="0"/>
      <w:marBottom w:val="0"/>
      <w:divBdr>
        <w:top w:val="none" w:sz="0" w:space="0" w:color="auto"/>
        <w:left w:val="none" w:sz="0" w:space="0" w:color="auto"/>
        <w:bottom w:val="none" w:sz="0" w:space="0" w:color="auto"/>
        <w:right w:val="none" w:sz="0" w:space="0" w:color="auto"/>
      </w:divBdr>
    </w:div>
    <w:div w:id="21108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footer" Target="foot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footer" Target="footer10.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8.xml"/><Relationship Id="rId32" Type="http://schemas.openxmlformats.org/officeDocument/2006/relationships/footer" Target="footer9.xml"/><Relationship Id="rId37" Type="http://schemas.openxmlformats.org/officeDocument/2006/relationships/chart" Target="charts/chart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chart" Target="charts/chart7.xml"/><Relationship Id="rId28" Type="http://schemas.openxmlformats.org/officeDocument/2006/relationships/chart" Target="charts/chart10.xml"/><Relationship Id="rId36" Type="http://schemas.openxmlformats.org/officeDocument/2006/relationships/chart" Target="charts/chart16.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hart" Target="charts/chart6.xml"/><Relationship Id="rId27" Type="http://schemas.openxmlformats.org/officeDocument/2006/relationships/footer" Target="footer8.xml"/><Relationship Id="rId30" Type="http://schemas.openxmlformats.org/officeDocument/2006/relationships/chart" Target="charts/chart12.xml"/><Relationship Id="rId35"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D:\wwq\&#24037;&#20316;\2016&#33021;&#32791;&#24773;&#20917;&#25253;&#21578;\2016&#24180;&#30417;&#27979;&#20840;&#21517;&#21333;&#65288;&#32456;&#65289;.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wwq\&#24037;&#20316;\2016&#33021;&#32791;&#24773;&#20917;&#25253;&#21578;\2016&#24180;&#30417;&#27979;&#20840;&#21517;&#21333;&#65288;&#32456;&#6528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wwq\&#24037;&#20316;\2016&#33021;&#32791;&#24773;&#20917;&#25253;&#21578;\2016&#24180;&#30417;&#27979;&#20840;&#21517;&#21333;&#65288;&#32456;&#65289;.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wwq\&#24037;&#20316;\2016&#33021;&#32791;&#24773;&#20917;&#25253;&#21578;\2016&#24180;&#30417;&#27979;&#20840;&#21517;&#21333;&#65288;&#32456;&#6528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wwq\&#24037;&#20316;\2016&#33021;&#32791;&#24773;&#20917;&#25253;&#21578;\&#20840;&#24066;&#25968;&#25454;.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wwq\&#24037;&#20316;\2016&#33021;&#32791;&#24773;&#20917;&#25253;&#21578;\&#20840;&#24066;&#25968;&#2545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wwq\&#24037;&#20316;\2016&#33021;&#32791;&#24773;&#20917;&#25253;&#21578;\&#20840;&#24066;&#25968;&#2545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wwq\&#24037;&#20316;\2016&#33021;&#32791;&#24773;&#20917;&#25253;&#21578;\&#20840;&#24066;&#25968;&#2545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wwq\&#24037;&#20316;\2016&#33021;&#32791;&#24773;&#20917;&#25253;&#21578;\2016&#24180;&#30417;&#27979;&#20840;&#21517;&#21333;&#65288;&#32456;&#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wq\&#24037;&#20316;\2016&#33021;&#32791;&#24773;&#20917;&#25253;&#21578;\2016&#24180;&#30417;&#27979;&#20840;&#21517;&#21333;&#65288;&#32456;&#652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wq\&#24037;&#20316;\2016&#33021;&#32791;&#24773;&#20917;&#25253;&#21578;\2016&#24180;&#30417;&#27979;&#20840;&#21517;&#21333;&#65288;&#32456;&#652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wq\&#24037;&#20316;\2016&#33021;&#32791;&#24773;&#20917;&#25253;&#21578;\&#20840;&#24066;&#25968;&#25454;.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wwq\&#24037;&#20316;\2016&#33021;&#32791;&#24773;&#20917;&#25253;&#21578;\&#20840;&#24066;&#25968;&#25454;.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wwq\&#24037;&#20316;\2016&#33021;&#32791;&#24773;&#20917;&#25253;&#21578;\&#20840;&#24066;&#25968;&#2545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wwq\&#24037;&#20316;\2016&#33021;&#32791;&#24773;&#20917;&#25253;&#21578;\&#20840;&#24066;&#25968;&#2545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wwq\&#24037;&#20316;\2016&#33021;&#32791;&#24773;&#20917;&#25253;&#21578;\&#20840;&#24066;&#25968;&#25454;.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wwq\&#24037;&#20316;\2016&#33021;&#32791;&#24773;&#20917;&#25253;&#21578;\2015&#12289;2016&#24180;&#33021;&#32791;&#25351;&#2596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855856357177967"/>
          <c:y val="2.4175858174899069E-2"/>
          <c:w val="0.83455144078721588"/>
          <c:h val="0.68649279511997752"/>
        </c:manualLayout>
      </c:layout>
      <c:barChart>
        <c:barDir val="col"/>
        <c:grouping val="stacked"/>
        <c:ser>
          <c:idx val="0"/>
          <c:order val="0"/>
          <c:tx>
            <c:v>2015年接入数量</c:v>
          </c:tx>
          <c:spPr>
            <a:solidFill>
              <a:schemeClr val="accent1"/>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'2016年总名单'!$Z$1507:$Z$1512</c:f>
              <c:strCache>
                <c:ptCount val="6"/>
                <c:pt idx="0">
                  <c:v>国家机关办公建筑</c:v>
                </c:pt>
                <c:pt idx="1">
                  <c:v>办公建筑</c:v>
                </c:pt>
                <c:pt idx="2">
                  <c:v>旅游饭店建筑</c:v>
                </c:pt>
                <c:pt idx="3">
                  <c:v>商场建筑</c:v>
                </c:pt>
                <c:pt idx="4">
                  <c:v>综合建筑</c:v>
                </c:pt>
                <c:pt idx="5">
                  <c:v>卫生建筑</c:v>
                </c:pt>
              </c:strCache>
            </c:strRef>
          </c:cat>
          <c:val>
            <c:numRef>
              <c:f>'2016年总名单'!$X$1507:$X$1512</c:f>
              <c:numCache>
                <c:formatCode>General</c:formatCode>
                <c:ptCount val="6"/>
                <c:pt idx="0">
                  <c:v>168</c:v>
                </c:pt>
                <c:pt idx="1">
                  <c:v>430</c:v>
                </c:pt>
                <c:pt idx="2">
                  <c:v>181</c:v>
                </c:pt>
                <c:pt idx="3">
                  <c:v>197</c:v>
                </c:pt>
                <c:pt idx="4">
                  <c:v>147</c:v>
                </c:pt>
                <c:pt idx="5">
                  <c:v>65</c:v>
                </c:pt>
              </c:numCache>
            </c:numRef>
          </c:val>
          <c:extLst xmlns:c16r2="http://schemas.microsoft.com/office/drawing/2015/06/chart">
            <c:ext xmlns:c16="http://schemas.microsoft.com/office/drawing/2014/chart" uri="{C3380CC4-5D6E-409C-BE32-E72D297353CC}">
              <c16:uniqueId val="{00000000-8A00-416A-A8C1-D4D77CFA41A1}"/>
            </c:ext>
          </c:extLst>
        </c:ser>
        <c:ser>
          <c:idx val="1"/>
          <c:order val="1"/>
          <c:tx>
            <c:v>2016年新增接入数量</c:v>
          </c:tx>
          <c:spPr>
            <a:solidFill>
              <a:schemeClr val="accent2"/>
            </a:solidFill>
            <a:ln>
              <a:noFill/>
            </a:ln>
            <a:effectLst/>
          </c:spPr>
          <c:dLbls>
            <c:dLbl>
              <c:idx val="0"/>
              <c:layout>
                <c:manualLayout>
                  <c:x val="-2.402768223794083E-17"/>
                  <c:y val="-4.62962962962963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00-416A-A8C1-D4D77CFA41A1}"/>
                </c:ext>
              </c:extLst>
            </c:dLbl>
            <c:dLbl>
              <c:idx val="1"/>
              <c:layout>
                <c:manualLayout>
                  <c:x val="-4.3187565483036098E-17"/>
                  <c:y val="-6.160979877515308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A00-416A-A8C1-D4D77CFA41A1}"/>
                </c:ext>
              </c:extLst>
            </c:dLbl>
            <c:dLbl>
              <c:idx val="2"/>
              <c:layout>
                <c:manualLayout>
                  <c:x val="-2.6212319790301407E-3"/>
                  <c:y val="-3.703703703703701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A00-416A-A8C1-D4D77CFA41A1}"/>
                </c:ext>
              </c:extLst>
            </c:dLbl>
            <c:dLbl>
              <c:idx val="3"/>
              <c:layout>
                <c:manualLayout>
                  <c:x val="0"/>
                  <c:y val="-4.629629629629641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A00-416A-A8C1-D4D77CFA41A1}"/>
                </c:ext>
              </c:extLst>
            </c:dLbl>
            <c:dLbl>
              <c:idx val="4"/>
              <c:layout>
                <c:manualLayout>
                  <c:x val="2.6212319790300509E-3"/>
                  <c:y val="-4.166666666666679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A00-416A-A8C1-D4D77CFA41A1}"/>
                </c:ext>
              </c:extLst>
            </c:dLbl>
            <c:dLbl>
              <c:idx val="5"/>
              <c:layout>
                <c:manualLayout>
                  <c:x val="0"/>
                  <c:y val="-5.55555555555554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A00-416A-A8C1-D4D77CFA41A1}"/>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'2016年总名单'!$Z$1507:$Z$1512</c:f>
              <c:strCache>
                <c:ptCount val="6"/>
                <c:pt idx="0">
                  <c:v>国家机关办公建筑</c:v>
                </c:pt>
                <c:pt idx="1">
                  <c:v>办公建筑</c:v>
                </c:pt>
                <c:pt idx="2">
                  <c:v>旅游饭店建筑</c:v>
                </c:pt>
                <c:pt idx="3">
                  <c:v>商场建筑</c:v>
                </c:pt>
                <c:pt idx="4">
                  <c:v>综合建筑</c:v>
                </c:pt>
                <c:pt idx="5">
                  <c:v>卫生建筑</c:v>
                </c:pt>
              </c:strCache>
            </c:strRef>
          </c:cat>
          <c:val>
            <c:numRef>
              <c:f>'2016年总名单'!$W$1507:$W$1512</c:f>
              <c:numCache>
                <c:formatCode>General</c:formatCode>
                <c:ptCount val="6"/>
                <c:pt idx="0">
                  <c:v>14</c:v>
                </c:pt>
                <c:pt idx="1">
                  <c:v>67</c:v>
                </c:pt>
                <c:pt idx="2">
                  <c:v>16</c:v>
                </c:pt>
                <c:pt idx="3">
                  <c:v>29</c:v>
                </c:pt>
                <c:pt idx="4">
                  <c:v>25</c:v>
                </c:pt>
                <c:pt idx="5">
                  <c:v>40</c:v>
                </c:pt>
              </c:numCache>
            </c:numRef>
          </c:val>
          <c:extLst xmlns:c16r2="http://schemas.microsoft.com/office/drawing/2015/06/chart">
            <c:ext xmlns:c16="http://schemas.microsoft.com/office/drawing/2014/chart" uri="{C3380CC4-5D6E-409C-BE32-E72D297353CC}">
              <c16:uniqueId val="{00000007-8A00-416A-A8C1-D4D77CFA41A1}"/>
            </c:ext>
          </c:extLst>
        </c:ser>
        <c:gapWidth val="177"/>
        <c:axId val="164849920"/>
        <c:axId val="164880384"/>
      </c:barChart>
      <c:catAx>
        <c:axId val="164849920"/>
        <c:scaling>
          <c:orientation val="minMax"/>
        </c:scaling>
        <c:axPos val="b"/>
        <c:numFmt formatCode="General" sourceLinked="1"/>
        <c:maj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64880384"/>
        <c:crosses val="autoZero"/>
        <c:auto val="1"/>
        <c:lblAlgn val="ctr"/>
        <c:lblOffset val="100"/>
      </c:catAx>
      <c:valAx>
        <c:axId val="164880384"/>
        <c:scaling>
          <c:orientation val="minMax"/>
        </c:scaling>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zh-CN" b="1"/>
                  <a:t>建筑数量（栋）</a:t>
                </a:r>
              </a:p>
            </c:rich>
          </c:tx>
          <c:layout>
            <c:manualLayout>
              <c:xMode val="edge"/>
              <c:yMode val="edge"/>
              <c:x val="1.3526056592749231E-2"/>
              <c:y val="0.20749545729860691"/>
            </c:manualLayout>
          </c:layout>
          <c:spPr>
            <a:noFill/>
            <a:ln>
              <a:noFill/>
            </a:ln>
            <a:effectLst/>
          </c:spPr>
        </c:title>
        <c:numFmt formatCode="General" sourceLinked="1"/>
        <c:majorTickMark val="in"/>
        <c:tickLblPos val="nextTo"/>
        <c:spPr>
          <a:noFill/>
          <a:ln>
            <a:solidFill>
              <a:schemeClr val="accent4">
                <a:lumMod val="50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64849920"/>
        <c:crosses val="autoZero"/>
        <c:crossBetween val="between"/>
      </c:valAx>
      <c:spPr>
        <a:noFill/>
        <a:ln>
          <a:solidFill>
            <a:schemeClr val="tx1"/>
          </a:solidFill>
        </a:ln>
        <a:effectLst/>
      </c:spPr>
    </c:plotArea>
    <c:legend>
      <c:legendPos val="t"/>
      <c:layout>
        <c:manualLayout>
          <c:xMode val="edge"/>
          <c:yMode val="edge"/>
          <c:x val="0.70863735572514452"/>
          <c:y val="4.2774267841025837E-2"/>
          <c:w val="0.22009793828774901"/>
          <c:h val="0.12512248468941384"/>
        </c:manualLayout>
      </c:layout>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legend>
    <c:plotVisOnly val="1"/>
    <c:dispBlanksAs val="gap"/>
  </c:chart>
  <c:spPr>
    <a:solidFill>
      <a:schemeClr val="bg1"/>
    </a:solidFill>
    <a:ln w="9525" cap="flat" cmpd="sng" algn="ctr">
      <a:noFill/>
      <a:round/>
    </a:ln>
    <a:effectLst/>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5747008404507594E-2"/>
          <c:y val="9.6478957371707738E-2"/>
          <c:w val="0.65399744606034038"/>
          <c:h val="0.76234102633722522"/>
        </c:manualLayout>
      </c:layout>
      <c:barChart>
        <c:barDir val="col"/>
        <c:grouping val="stacked"/>
        <c:ser>
          <c:idx val="0"/>
          <c:order val="0"/>
          <c:tx>
            <c:v>国家机关办公建筑</c:v>
          </c:tx>
          <c:spPr>
            <a:solidFill>
              <a:schemeClr val="accent1"/>
            </a:solidFill>
            <a:ln>
              <a:noFill/>
            </a:ln>
            <a:effectLst/>
          </c:spPr>
          <c:cat>
            <c:strRef>
              <c:f>'2016年总名单'!$C$1584:$C$1599</c:f>
              <c:strCache>
                <c:ptCount val="16"/>
                <c:pt idx="0">
                  <c:v>宝山区</c:v>
                </c:pt>
                <c:pt idx="1">
                  <c:v>长宁区</c:v>
                </c:pt>
                <c:pt idx="2">
                  <c:v>崇明区</c:v>
                </c:pt>
                <c:pt idx="3">
                  <c:v>奉贤区</c:v>
                </c:pt>
                <c:pt idx="4">
                  <c:v>虹口区</c:v>
                </c:pt>
                <c:pt idx="5">
                  <c:v>黄浦区</c:v>
                </c:pt>
                <c:pt idx="6">
                  <c:v>嘉定区</c:v>
                </c:pt>
                <c:pt idx="7">
                  <c:v>金山区</c:v>
                </c:pt>
                <c:pt idx="8">
                  <c:v>静安区</c:v>
                </c:pt>
                <c:pt idx="9">
                  <c:v>闵行区</c:v>
                </c:pt>
                <c:pt idx="10">
                  <c:v>浦东新区</c:v>
                </c:pt>
                <c:pt idx="11">
                  <c:v>普陀区</c:v>
                </c:pt>
                <c:pt idx="12">
                  <c:v>青浦区</c:v>
                </c:pt>
                <c:pt idx="13">
                  <c:v>松江区</c:v>
                </c:pt>
                <c:pt idx="14">
                  <c:v>徐汇区</c:v>
                </c:pt>
                <c:pt idx="15">
                  <c:v>杨浦区</c:v>
                </c:pt>
              </c:strCache>
            </c:strRef>
          </c:cat>
          <c:val>
            <c:numRef>
              <c:f>'2016年总名单'!$D$1584:$D$1599</c:f>
              <c:numCache>
                <c:formatCode>General</c:formatCode>
                <c:ptCount val="16"/>
                <c:pt idx="0">
                  <c:v>7</c:v>
                </c:pt>
                <c:pt idx="1">
                  <c:v>5</c:v>
                </c:pt>
                <c:pt idx="2">
                  <c:v>18</c:v>
                </c:pt>
                <c:pt idx="3">
                  <c:v>8</c:v>
                </c:pt>
                <c:pt idx="4">
                  <c:v>9</c:v>
                </c:pt>
                <c:pt idx="5">
                  <c:v>25</c:v>
                </c:pt>
                <c:pt idx="6">
                  <c:v>7</c:v>
                </c:pt>
                <c:pt idx="7">
                  <c:v>5</c:v>
                </c:pt>
                <c:pt idx="8">
                  <c:v>10</c:v>
                </c:pt>
                <c:pt idx="9">
                  <c:v>10</c:v>
                </c:pt>
                <c:pt idx="10">
                  <c:v>16</c:v>
                </c:pt>
                <c:pt idx="11">
                  <c:v>7</c:v>
                </c:pt>
                <c:pt idx="12">
                  <c:v>8</c:v>
                </c:pt>
                <c:pt idx="13">
                  <c:v>21</c:v>
                </c:pt>
                <c:pt idx="14">
                  <c:v>23</c:v>
                </c:pt>
                <c:pt idx="15">
                  <c:v>3</c:v>
                </c:pt>
              </c:numCache>
            </c:numRef>
          </c:val>
          <c:extLst xmlns:c16r2="http://schemas.microsoft.com/office/drawing/2015/06/chart">
            <c:ext xmlns:c16="http://schemas.microsoft.com/office/drawing/2014/chart" uri="{C3380CC4-5D6E-409C-BE32-E72D297353CC}">
              <c16:uniqueId val="{00000000-9369-434E-85E5-0316689BA869}"/>
            </c:ext>
          </c:extLst>
        </c:ser>
        <c:ser>
          <c:idx val="1"/>
          <c:order val="1"/>
          <c:tx>
            <c:v>办公建筑</c:v>
          </c:tx>
          <c:spPr>
            <a:solidFill>
              <a:schemeClr val="accent2"/>
            </a:solidFill>
            <a:ln>
              <a:noFill/>
            </a:ln>
            <a:effectLst/>
          </c:spPr>
          <c:cat>
            <c:strRef>
              <c:f>'2016年总名单'!$C$1584:$C$1599</c:f>
              <c:strCache>
                <c:ptCount val="16"/>
                <c:pt idx="0">
                  <c:v>宝山区</c:v>
                </c:pt>
                <c:pt idx="1">
                  <c:v>长宁区</c:v>
                </c:pt>
                <c:pt idx="2">
                  <c:v>崇明区</c:v>
                </c:pt>
                <c:pt idx="3">
                  <c:v>奉贤区</c:v>
                </c:pt>
                <c:pt idx="4">
                  <c:v>虹口区</c:v>
                </c:pt>
                <c:pt idx="5">
                  <c:v>黄浦区</c:v>
                </c:pt>
                <c:pt idx="6">
                  <c:v>嘉定区</c:v>
                </c:pt>
                <c:pt idx="7">
                  <c:v>金山区</c:v>
                </c:pt>
                <c:pt idx="8">
                  <c:v>静安区</c:v>
                </c:pt>
                <c:pt idx="9">
                  <c:v>闵行区</c:v>
                </c:pt>
                <c:pt idx="10">
                  <c:v>浦东新区</c:v>
                </c:pt>
                <c:pt idx="11">
                  <c:v>普陀区</c:v>
                </c:pt>
                <c:pt idx="12">
                  <c:v>青浦区</c:v>
                </c:pt>
                <c:pt idx="13">
                  <c:v>松江区</c:v>
                </c:pt>
                <c:pt idx="14">
                  <c:v>徐汇区</c:v>
                </c:pt>
                <c:pt idx="15">
                  <c:v>杨浦区</c:v>
                </c:pt>
              </c:strCache>
            </c:strRef>
          </c:cat>
          <c:val>
            <c:numRef>
              <c:f>'2016年总名单'!$E$1584:$E$1599</c:f>
              <c:numCache>
                <c:formatCode>General</c:formatCode>
                <c:ptCount val="16"/>
                <c:pt idx="0">
                  <c:v>3</c:v>
                </c:pt>
                <c:pt idx="1">
                  <c:v>54</c:v>
                </c:pt>
                <c:pt idx="2">
                  <c:v>3</c:v>
                </c:pt>
                <c:pt idx="3">
                  <c:v>1</c:v>
                </c:pt>
                <c:pt idx="4">
                  <c:v>37</c:v>
                </c:pt>
                <c:pt idx="5">
                  <c:v>76</c:v>
                </c:pt>
                <c:pt idx="6">
                  <c:v>15</c:v>
                </c:pt>
                <c:pt idx="7">
                  <c:v>1</c:v>
                </c:pt>
                <c:pt idx="8">
                  <c:v>68</c:v>
                </c:pt>
                <c:pt idx="9">
                  <c:v>6</c:v>
                </c:pt>
                <c:pt idx="10">
                  <c:v>77</c:v>
                </c:pt>
                <c:pt idx="11">
                  <c:v>54</c:v>
                </c:pt>
                <c:pt idx="12">
                  <c:v>3</c:v>
                </c:pt>
                <c:pt idx="13">
                  <c:v>4</c:v>
                </c:pt>
                <c:pt idx="14">
                  <c:v>71</c:v>
                </c:pt>
                <c:pt idx="15">
                  <c:v>24</c:v>
                </c:pt>
              </c:numCache>
            </c:numRef>
          </c:val>
          <c:extLst xmlns:c16r2="http://schemas.microsoft.com/office/drawing/2015/06/chart">
            <c:ext xmlns:c16="http://schemas.microsoft.com/office/drawing/2014/chart" uri="{C3380CC4-5D6E-409C-BE32-E72D297353CC}">
              <c16:uniqueId val="{00000001-9369-434E-85E5-0316689BA869}"/>
            </c:ext>
          </c:extLst>
        </c:ser>
        <c:ser>
          <c:idx val="2"/>
          <c:order val="2"/>
          <c:tx>
            <c:v>旅游饭店建筑</c:v>
          </c:tx>
          <c:spPr>
            <a:solidFill>
              <a:schemeClr val="accent3"/>
            </a:solidFill>
            <a:ln>
              <a:noFill/>
            </a:ln>
            <a:effectLst/>
          </c:spPr>
          <c:cat>
            <c:strRef>
              <c:f>'2016年总名单'!$C$1584:$C$1599</c:f>
              <c:strCache>
                <c:ptCount val="16"/>
                <c:pt idx="0">
                  <c:v>宝山区</c:v>
                </c:pt>
                <c:pt idx="1">
                  <c:v>长宁区</c:v>
                </c:pt>
                <c:pt idx="2">
                  <c:v>崇明区</c:v>
                </c:pt>
                <c:pt idx="3">
                  <c:v>奉贤区</c:v>
                </c:pt>
                <c:pt idx="4">
                  <c:v>虹口区</c:v>
                </c:pt>
                <c:pt idx="5">
                  <c:v>黄浦区</c:v>
                </c:pt>
                <c:pt idx="6">
                  <c:v>嘉定区</c:v>
                </c:pt>
                <c:pt idx="7">
                  <c:v>金山区</c:v>
                </c:pt>
                <c:pt idx="8">
                  <c:v>静安区</c:v>
                </c:pt>
                <c:pt idx="9">
                  <c:v>闵行区</c:v>
                </c:pt>
                <c:pt idx="10">
                  <c:v>浦东新区</c:v>
                </c:pt>
                <c:pt idx="11">
                  <c:v>普陀区</c:v>
                </c:pt>
                <c:pt idx="12">
                  <c:v>青浦区</c:v>
                </c:pt>
                <c:pt idx="13">
                  <c:v>松江区</c:v>
                </c:pt>
                <c:pt idx="14">
                  <c:v>徐汇区</c:v>
                </c:pt>
                <c:pt idx="15">
                  <c:v>杨浦区</c:v>
                </c:pt>
              </c:strCache>
            </c:strRef>
          </c:cat>
          <c:val>
            <c:numRef>
              <c:f>'2016年总名单'!$F$1584:$F$1599</c:f>
              <c:numCache>
                <c:formatCode>General</c:formatCode>
                <c:ptCount val="16"/>
                <c:pt idx="0">
                  <c:v>5</c:v>
                </c:pt>
                <c:pt idx="1">
                  <c:v>17</c:v>
                </c:pt>
                <c:pt idx="3">
                  <c:v>2</c:v>
                </c:pt>
                <c:pt idx="4">
                  <c:v>10</c:v>
                </c:pt>
                <c:pt idx="5">
                  <c:v>35</c:v>
                </c:pt>
                <c:pt idx="6">
                  <c:v>3</c:v>
                </c:pt>
                <c:pt idx="7">
                  <c:v>4</c:v>
                </c:pt>
                <c:pt idx="8">
                  <c:v>27</c:v>
                </c:pt>
                <c:pt idx="9">
                  <c:v>1</c:v>
                </c:pt>
                <c:pt idx="10">
                  <c:v>46</c:v>
                </c:pt>
                <c:pt idx="11">
                  <c:v>9</c:v>
                </c:pt>
                <c:pt idx="12">
                  <c:v>5</c:v>
                </c:pt>
                <c:pt idx="13">
                  <c:v>9</c:v>
                </c:pt>
                <c:pt idx="14">
                  <c:v>17</c:v>
                </c:pt>
                <c:pt idx="15">
                  <c:v>7</c:v>
                </c:pt>
              </c:numCache>
            </c:numRef>
          </c:val>
          <c:extLst xmlns:c16r2="http://schemas.microsoft.com/office/drawing/2015/06/chart">
            <c:ext xmlns:c16="http://schemas.microsoft.com/office/drawing/2014/chart" uri="{C3380CC4-5D6E-409C-BE32-E72D297353CC}">
              <c16:uniqueId val="{00000002-9369-434E-85E5-0316689BA869}"/>
            </c:ext>
          </c:extLst>
        </c:ser>
        <c:ser>
          <c:idx val="3"/>
          <c:order val="3"/>
          <c:tx>
            <c:v>商场建筑</c:v>
          </c:tx>
          <c:spPr>
            <a:solidFill>
              <a:schemeClr val="accent4"/>
            </a:solidFill>
            <a:ln>
              <a:noFill/>
            </a:ln>
            <a:effectLst/>
          </c:spPr>
          <c:cat>
            <c:strRef>
              <c:f>'2016年总名单'!$C$1584:$C$1599</c:f>
              <c:strCache>
                <c:ptCount val="16"/>
                <c:pt idx="0">
                  <c:v>宝山区</c:v>
                </c:pt>
                <c:pt idx="1">
                  <c:v>长宁区</c:v>
                </c:pt>
                <c:pt idx="2">
                  <c:v>崇明区</c:v>
                </c:pt>
                <c:pt idx="3">
                  <c:v>奉贤区</c:v>
                </c:pt>
                <c:pt idx="4">
                  <c:v>虹口区</c:v>
                </c:pt>
                <c:pt idx="5">
                  <c:v>黄浦区</c:v>
                </c:pt>
                <c:pt idx="6">
                  <c:v>嘉定区</c:v>
                </c:pt>
                <c:pt idx="7">
                  <c:v>金山区</c:v>
                </c:pt>
                <c:pt idx="8">
                  <c:v>静安区</c:v>
                </c:pt>
                <c:pt idx="9">
                  <c:v>闵行区</c:v>
                </c:pt>
                <c:pt idx="10">
                  <c:v>浦东新区</c:v>
                </c:pt>
                <c:pt idx="11">
                  <c:v>普陀区</c:v>
                </c:pt>
                <c:pt idx="12">
                  <c:v>青浦区</c:v>
                </c:pt>
                <c:pt idx="13">
                  <c:v>松江区</c:v>
                </c:pt>
                <c:pt idx="14">
                  <c:v>徐汇区</c:v>
                </c:pt>
                <c:pt idx="15">
                  <c:v>杨浦区</c:v>
                </c:pt>
              </c:strCache>
            </c:strRef>
          </c:cat>
          <c:val>
            <c:numRef>
              <c:f>'2016年总名单'!$G$1584:$G$1599</c:f>
              <c:numCache>
                <c:formatCode>General</c:formatCode>
                <c:ptCount val="16"/>
                <c:pt idx="0">
                  <c:v>5</c:v>
                </c:pt>
                <c:pt idx="1">
                  <c:v>12</c:v>
                </c:pt>
                <c:pt idx="3">
                  <c:v>1</c:v>
                </c:pt>
                <c:pt idx="4">
                  <c:v>7</c:v>
                </c:pt>
                <c:pt idx="5">
                  <c:v>35</c:v>
                </c:pt>
                <c:pt idx="6">
                  <c:v>13</c:v>
                </c:pt>
                <c:pt idx="7">
                  <c:v>6</c:v>
                </c:pt>
                <c:pt idx="8">
                  <c:v>24</c:v>
                </c:pt>
                <c:pt idx="9">
                  <c:v>4</c:v>
                </c:pt>
                <c:pt idx="10">
                  <c:v>37</c:v>
                </c:pt>
                <c:pt idx="11">
                  <c:v>21</c:v>
                </c:pt>
                <c:pt idx="12">
                  <c:v>7</c:v>
                </c:pt>
                <c:pt idx="13">
                  <c:v>22</c:v>
                </c:pt>
                <c:pt idx="14">
                  <c:v>24</c:v>
                </c:pt>
                <c:pt idx="15">
                  <c:v>8</c:v>
                </c:pt>
              </c:numCache>
            </c:numRef>
          </c:val>
          <c:extLst xmlns:c16r2="http://schemas.microsoft.com/office/drawing/2015/06/chart">
            <c:ext xmlns:c16="http://schemas.microsoft.com/office/drawing/2014/chart" uri="{C3380CC4-5D6E-409C-BE32-E72D297353CC}">
              <c16:uniqueId val="{00000003-9369-434E-85E5-0316689BA869}"/>
            </c:ext>
          </c:extLst>
        </c:ser>
        <c:ser>
          <c:idx val="4"/>
          <c:order val="4"/>
          <c:tx>
            <c:v>综合建筑</c:v>
          </c:tx>
          <c:spPr>
            <a:solidFill>
              <a:schemeClr val="accent5"/>
            </a:solidFill>
            <a:ln>
              <a:noFill/>
            </a:ln>
            <a:effectLst/>
          </c:spPr>
          <c:cat>
            <c:strRef>
              <c:f>'2016年总名单'!$C$1584:$C$1599</c:f>
              <c:strCache>
                <c:ptCount val="16"/>
                <c:pt idx="0">
                  <c:v>宝山区</c:v>
                </c:pt>
                <c:pt idx="1">
                  <c:v>长宁区</c:v>
                </c:pt>
                <c:pt idx="2">
                  <c:v>崇明区</c:v>
                </c:pt>
                <c:pt idx="3">
                  <c:v>奉贤区</c:v>
                </c:pt>
                <c:pt idx="4">
                  <c:v>虹口区</c:v>
                </c:pt>
                <c:pt idx="5">
                  <c:v>黄浦区</c:v>
                </c:pt>
                <c:pt idx="6">
                  <c:v>嘉定区</c:v>
                </c:pt>
                <c:pt idx="7">
                  <c:v>金山区</c:v>
                </c:pt>
                <c:pt idx="8">
                  <c:v>静安区</c:v>
                </c:pt>
                <c:pt idx="9">
                  <c:v>闵行区</c:v>
                </c:pt>
                <c:pt idx="10">
                  <c:v>浦东新区</c:v>
                </c:pt>
                <c:pt idx="11">
                  <c:v>普陀区</c:v>
                </c:pt>
                <c:pt idx="12">
                  <c:v>青浦区</c:v>
                </c:pt>
                <c:pt idx="13">
                  <c:v>松江区</c:v>
                </c:pt>
                <c:pt idx="14">
                  <c:v>徐汇区</c:v>
                </c:pt>
                <c:pt idx="15">
                  <c:v>杨浦区</c:v>
                </c:pt>
              </c:strCache>
            </c:strRef>
          </c:cat>
          <c:val>
            <c:numRef>
              <c:f>'2016年总名单'!$H$1584:$H$1599</c:f>
              <c:numCache>
                <c:formatCode>General</c:formatCode>
                <c:ptCount val="16"/>
                <c:pt idx="0">
                  <c:v>1</c:v>
                </c:pt>
                <c:pt idx="1">
                  <c:v>16</c:v>
                </c:pt>
                <c:pt idx="4">
                  <c:v>11</c:v>
                </c:pt>
                <c:pt idx="5">
                  <c:v>37</c:v>
                </c:pt>
                <c:pt idx="6">
                  <c:v>15</c:v>
                </c:pt>
                <c:pt idx="7">
                  <c:v>1</c:v>
                </c:pt>
                <c:pt idx="8">
                  <c:v>25</c:v>
                </c:pt>
                <c:pt idx="9">
                  <c:v>2</c:v>
                </c:pt>
                <c:pt idx="10">
                  <c:v>14</c:v>
                </c:pt>
                <c:pt idx="11">
                  <c:v>10</c:v>
                </c:pt>
                <c:pt idx="12">
                  <c:v>1</c:v>
                </c:pt>
                <c:pt idx="14">
                  <c:v>15</c:v>
                </c:pt>
                <c:pt idx="15">
                  <c:v>24</c:v>
                </c:pt>
              </c:numCache>
            </c:numRef>
          </c:val>
          <c:extLst xmlns:c16r2="http://schemas.microsoft.com/office/drawing/2015/06/chart">
            <c:ext xmlns:c16="http://schemas.microsoft.com/office/drawing/2014/chart" uri="{C3380CC4-5D6E-409C-BE32-E72D297353CC}">
              <c16:uniqueId val="{00000004-9369-434E-85E5-0316689BA869}"/>
            </c:ext>
          </c:extLst>
        </c:ser>
        <c:ser>
          <c:idx val="5"/>
          <c:order val="5"/>
          <c:tx>
            <c:v>卫生建筑</c:v>
          </c:tx>
          <c:spPr>
            <a:solidFill>
              <a:schemeClr val="accent6"/>
            </a:solidFill>
            <a:ln>
              <a:noFill/>
            </a:ln>
            <a:effectLst/>
          </c:spPr>
          <c:cat>
            <c:strRef>
              <c:f>'2016年总名单'!$C$1584:$C$1599</c:f>
              <c:strCache>
                <c:ptCount val="16"/>
                <c:pt idx="0">
                  <c:v>宝山区</c:v>
                </c:pt>
                <c:pt idx="1">
                  <c:v>长宁区</c:v>
                </c:pt>
                <c:pt idx="2">
                  <c:v>崇明区</c:v>
                </c:pt>
                <c:pt idx="3">
                  <c:v>奉贤区</c:v>
                </c:pt>
                <c:pt idx="4">
                  <c:v>虹口区</c:v>
                </c:pt>
                <c:pt idx="5">
                  <c:v>黄浦区</c:v>
                </c:pt>
                <c:pt idx="6">
                  <c:v>嘉定区</c:v>
                </c:pt>
                <c:pt idx="7">
                  <c:v>金山区</c:v>
                </c:pt>
                <c:pt idx="8">
                  <c:v>静安区</c:v>
                </c:pt>
                <c:pt idx="9">
                  <c:v>闵行区</c:v>
                </c:pt>
                <c:pt idx="10">
                  <c:v>浦东新区</c:v>
                </c:pt>
                <c:pt idx="11">
                  <c:v>普陀区</c:v>
                </c:pt>
                <c:pt idx="12">
                  <c:v>青浦区</c:v>
                </c:pt>
                <c:pt idx="13">
                  <c:v>松江区</c:v>
                </c:pt>
                <c:pt idx="14">
                  <c:v>徐汇区</c:v>
                </c:pt>
                <c:pt idx="15">
                  <c:v>杨浦区</c:v>
                </c:pt>
              </c:strCache>
            </c:strRef>
          </c:cat>
          <c:val>
            <c:numRef>
              <c:f>'2016年总名单'!$I$1584:$I$1599</c:f>
              <c:numCache>
                <c:formatCode>General</c:formatCode>
                <c:ptCount val="16"/>
                <c:pt idx="0">
                  <c:v>5</c:v>
                </c:pt>
                <c:pt idx="1">
                  <c:v>3</c:v>
                </c:pt>
                <c:pt idx="2">
                  <c:v>6</c:v>
                </c:pt>
                <c:pt idx="3">
                  <c:v>1</c:v>
                </c:pt>
                <c:pt idx="4">
                  <c:v>7</c:v>
                </c:pt>
                <c:pt idx="5">
                  <c:v>10</c:v>
                </c:pt>
                <c:pt idx="6">
                  <c:v>2</c:v>
                </c:pt>
                <c:pt idx="7">
                  <c:v>4</c:v>
                </c:pt>
                <c:pt idx="8">
                  <c:v>11</c:v>
                </c:pt>
                <c:pt idx="9">
                  <c:v>6</c:v>
                </c:pt>
                <c:pt idx="10">
                  <c:v>10</c:v>
                </c:pt>
                <c:pt idx="11">
                  <c:v>5</c:v>
                </c:pt>
                <c:pt idx="12">
                  <c:v>1</c:v>
                </c:pt>
                <c:pt idx="13">
                  <c:v>2</c:v>
                </c:pt>
                <c:pt idx="14">
                  <c:v>21</c:v>
                </c:pt>
                <c:pt idx="15">
                  <c:v>11</c:v>
                </c:pt>
              </c:numCache>
            </c:numRef>
          </c:val>
          <c:extLst xmlns:c16r2="http://schemas.microsoft.com/office/drawing/2015/06/chart">
            <c:ext xmlns:c16="http://schemas.microsoft.com/office/drawing/2014/chart" uri="{C3380CC4-5D6E-409C-BE32-E72D297353CC}">
              <c16:uniqueId val="{00000005-9369-434E-85E5-0316689BA869}"/>
            </c:ext>
          </c:extLst>
        </c:ser>
        <c:ser>
          <c:idx val="6"/>
          <c:order val="6"/>
          <c:tx>
            <c:v>教育建筑、文化建筑、体育建筑及其他建筑</c:v>
          </c:tx>
          <c:spPr>
            <a:solidFill>
              <a:schemeClr val="accent1">
                <a:lumMod val="60000"/>
              </a:schemeClr>
            </a:solidFill>
            <a:ln>
              <a:noFill/>
            </a:ln>
            <a:effectLst/>
          </c:spPr>
          <c:cat>
            <c:strRef>
              <c:f>'2016年总名单'!$C$1584:$C$1599</c:f>
              <c:strCache>
                <c:ptCount val="16"/>
                <c:pt idx="0">
                  <c:v>宝山区</c:v>
                </c:pt>
                <c:pt idx="1">
                  <c:v>长宁区</c:v>
                </c:pt>
                <c:pt idx="2">
                  <c:v>崇明区</c:v>
                </c:pt>
                <c:pt idx="3">
                  <c:v>奉贤区</c:v>
                </c:pt>
                <c:pt idx="4">
                  <c:v>虹口区</c:v>
                </c:pt>
                <c:pt idx="5">
                  <c:v>黄浦区</c:v>
                </c:pt>
                <c:pt idx="6">
                  <c:v>嘉定区</c:v>
                </c:pt>
                <c:pt idx="7">
                  <c:v>金山区</c:v>
                </c:pt>
                <c:pt idx="8">
                  <c:v>静安区</c:v>
                </c:pt>
                <c:pt idx="9">
                  <c:v>闵行区</c:v>
                </c:pt>
                <c:pt idx="10">
                  <c:v>浦东新区</c:v>
                </c:pt>
                <c:pt idx="11">
                  <c:v>普陀区</c:v>
                </c:pt>
                <c:pt idx="12">
                  <c:v>青浦区</c:v>
                </c:pt>
                <c:pt idx="13">
                  <c:v>松江区</c:v>
                </c:pt>
                <c:pt idx="14">
                  <c:v>徐汇区</c:v>
                </c:pt>
                <c:pt idx="15">
                  <c:v>杨浦区</c:v>
                </c:pt>
              </c:strCache>
            </c:strRef>
          </c:cat>
          <c:val>
            <c:numRef>
              <c:f>'2016年总名单'!$J$1584:$J$1599</c:f>
              <c:numCache>
                <c:formatCode>General</c:formatCode>
                <c:ptCount val="16"/>
                <c:pt idx="0">
                  <c:v>12</c:v>
                </c:pt>
                <c:pt idx="1">
                  <c:v>5</c:v>
                </c:pt>
                <c:pt idx="2">
                  <c:v>1</c:v>
                </c:pt>
                <c:pt idx="3">
                  <c:v>0</c:v>
                </c:pt>
                <c:pt idx="4">
                  <c:v>8</c:v>
                </c:pt>
                <c:pt idx="5">
                  <c:v>26</c:v>
                </c:pt>
                <c:pt idx="6">
                  <c:v>9</c:v>
                </c:pt>
                <c:pt idx="7">
                  <c:v>2</c:v>
                </c:pt>
                <c:pt idx="8">
                  <c:v>15</c:v>
                </c:pt>
                <c:pt idx="9">
                  <c:v>2</c:v>
                </c:pt>
                <c:pt idx="10">
                  <c:v>13</c:v>
                </c:pt>
                <c:pt idx="11">
                  <c:v>5</c:v>
                </c:pt>
                <c:pt idx="12">
                  <c:v>0</c:v>
                </c:pt>
                <c:pt idx="13">
                  <c:v>10</c:v>
                </c:pt>
                <c:pt idx="14">
                  <c:v>7</c:v>
                </c:pt>
                <c:pt idx="15">
                  <c:v>7</c:v>
                </c:pt>
              </c:numCache>
            </c:numRef>
          </c:val>
          <c:extLst xmlns:c16r2="http://schemas.microsoft.com/office/drawing/2015/06/chart">
            <c:ext xmlns:c16="http://schemas.microsoft.com/office/drawing/2014/chart" uri="{C3380CC4-5D6E-409C-BE32-E72D297353CC}">
              <c16:uniqueId val="{00000006-9369-434E-85E5-0316689BA869}"/>
            </c:ext>
          </c:extLst>
        </c:ser>
        <c:gapWidth val="81"/>
        <c:overlap val="100"/>
        <c:axId val="176425984"/>
        <c:axId val="176456448"/>
      </c:barChart>
      <c:catAx>
        <c:axId val="176425984"/>
        <c:scaling>
          <c:orientation val="minMax"/>
        </c:scaling>
        <c:axPos val="b"/>
        <c:numFmt formatCode="General" sourceLinked="1"/>
        <c:maj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76456448"/>
        <c:crosses val="autoZero"/>
        <c:auto val="1"/>
        <c:lblAlgn val="ctr"/>
        <c:lblOffset val="100"/>
      </c:catAx>
      <c:valAx>
        <c:axId val="1764564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76425984"/>
        <c:crosses val="autoZero"/>
        <c:crossBetween val="between"/>
      </c:valAx>
      <c:spPr>
        <a:noFill/>
        <a:ln>
          <a:solidFill>
            <a:schemeClr val="tx1"/>
          </a:solidFill>
        </a:ln>
        <a:effectLst/>
      </c:spPr>
    </c:plotArea>
    <c:legend>
      <c:legendPos val="b"/>
      <c:layout>
        <c:manualLayout>
          <c:xMode val="edge"/>
          <c:yMode val="edge"/>
          <c:x val="0.75691875137359543"/>
          <c:y val="9.8544936193320748E-2"/>
          <c:w val="0.21661349116731013"/>
          <c:h val="0.7255929948411618"/>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legend>
    <c:plotVisOnly val="1"/>
    <c:dispBlanksAs val="gap"/>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zh-CN"/>
    </a:p>
  </c:tx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25473959071311436"/>
          <c:y val="0.11313266221469152"/>
          <c:w val="0.43910693682569896"/>
          <c:h val="0.8648739160769463"/>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EAE-4D26-B052-21086C325263}"/>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EAE-4D26-B052-21086C325263}"/>
              </c:ext>
            </c:extLst>
          </c:dPt>
          <c:dLbls>
            <c:dLbl>
              <c:idx val="0"/>
              <c:layout>
                <c:manualLayout>
                  <c:x val="-0.15777685565653901"/>
                  <c:y val="-0.1931776757072029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EAE-4D26-B052-21086C325263}"/>
                </c:ext>
              </c:extLst>
            </c:dLbl>
            <c:dLbl>
              <c:idx val="1"/>
              <c:layout>
                <c:manualLayout>
                  <c:x val="0.16669918830840205"/>
                  <c:y val="0.1361643336249640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EAE-4D26-B052-21086C32526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zh-CN"/>
              </a:p>
            </c:txPr>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市区!$G$1003:$H$1003</c:f>
              <c:strCache>
                <c:ptCount val="2"/>
                <c:pt idx="0">
                  <c:v>中心城区</c:v>
                </c:pt>
                <c:pt idx="1">
                  <c:v>非中心城区</c:v>
                </c:pt>
              </c:strCache>
            </c:strRef>
          </c:cat>
          <c:val>
            <c:numRef>
              <c:f>市区!$G$1011:$H$1011</c:f>
              <c:numCache>
                <c:formatCode>General</c:formatCode>
                <c:ptCount val="2"/>
                <c:pt idx="0">
                  <c:v>998</c:v>
                </c:pt>
                <c:pt idx="1">
                  <c:v>503</c:v>
                </c:pt>
              </c:numCache>
            </c:numRef>
          </c:val>
          <c:extLst xmlns:c16r2="http://schemas.microsoft.com/office/drawing/2015/06/chart">
            <c:ext xmlns:c16="http://schemas.microsoft.com/office/drawing/2014/chart" uri="{C3380CC4-5D6E-409C-BE32-E72D297353CC}">
              <c16:uniqueId val="{00000004-5EAE-4D26-B052-21086C325263}"/>
            </c:ext>
          </c:extLst>
        </c:ser>
        <c:firstSliceAng val="0"/>
      </c:pieChart>
      <c:spPr>
        <a:noFill/>
        <a:ln>
          <a:noFill/>
        </a:ln>
        <a:effectLst/>
      </c:spPr>
    </c:plotArea>
    <c:plotVisOnly val="1"/>
    <c:dispBlanksAs val="zero"/>
  </c:chart>
  <c:spPr>
    <a:solidFill>
      <a:schemeClr val="bg1"/>
    </a:solidFill>
    <a:ln w="9525" cap="flat" cmpd="sng" algn="ctr">
      <a:noFill/>
      <a:round/>
    </a:ln>
    <a:effectLst/>
  </c:spPr>
  <c:txPr>
    <a:bodyPr/>
    <a:lstStyle/>
    <a:p>
      <a:pPr>
        <a:defRPr/>
      </a:pPr>
      <a:endParaRPr lang="zh-CN"/>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2564433438449207"/>
          <c:y val="0.11858085447652403"/>
          <c:w val="0.53571997910580604"/>
          <c:h val="0.76491105278506821"/>
        </c:manualLayout>
      </c:layout>
      <c:barChart>
        <c:barDir val="col"/>
        <c:grouping val="stacked"/>
        <c:ser>
          <c:idx val="0"/>
          <c:order val="0"/>
          <c:tx>
            <c:v>国家机关办公建筑</c:v>
          </c:tx>
          <c:spPr>
            <a:solidFill>
              <a:schemeClr val="accent1"/>
            </a:solidFill>
            <a:ln>
              <a:noFill/>
            </a:ln>
            <a:effectLst/>
          </c:spPr>
          <c:cat>
            <c:strRef>
              <c:f>市区!$G$1003:$H$1003</c:f>
              <c:strCache>
                <c:ptCount val="2"/>
                <c:pt idx="0">
                  <c:v>中心城区</c:v>
                </c:pt>
                <c:pt idx="1">
                  <c:v>非中心城区</c:v>
                </c:pt>
              </c:strCache>
            </c:strRef>
          </c:cat>
          <c:val>
            <c:numRef>
              <c:f>市区!$G$1004:$H$1004</c:f>
              <c:numCache>
                <c:formatCode>General</c:formatCode>
                <c:ptCount val="2"/>
                <c:pt idx="0">
                  <c:v>82</c:v>
                </c:pt>
                <c:pt idx="1">
                  <c:v>100</c:v>
                </c:pt>
              </c:numCache>
            </c:numRef>
          </c:val>
          <c:extLst xmlns:c16r2="http://schemas.microsoft.com/office/drawing/2015/06/chart">
            <c:ext xmlns:c16="http://schemas.microsoft.com/office/drawing/2014/chart" uri="{C3380CC4-5D6E-409C-BE32-E72D297353CC}">
              <c16:uniqueId val="{00000000-2DA6-4037-BBFF-FDA3AE71DC45}"/>
            </c:ext>
          </c:extLst>
        </c:ser>
        <c:ser>
          <c:idx val="1"/>
          <c:order val="1"/>
          <c:tx>
            <c:v>办公建筑</c:v>
          </c:tx>
          <c:spPr>
            <a:solidFill>
              <a:schemeClr val="accent2"/>
            </a:solidFill>
            <a:ln>
              <a:noFill/>
            </a:ln>
            <a:effectLst/>
          </c:spPr>
          <c:cat>
            <c:strRef>
              <c:f>市区!$G$1003:$H$1003</c:f>
              <c:strCache>
                <c:ptCount val="2"/>
                <c:pt idx="0">
                  <c:v>中心城区</c:v>
                </c:pt>
                <c:pt idx="1">
                  <c:v>非中心城区</c:v>
                </c:pt>
              </c:strCache>
            </c:strRef>
          </c:cat>
          <c:val>
            <c:numRef>
              <c:f>市区!$G$1005:$H$1005</c:f>
              <c:numCache>
                <c:formatCode>General</c:formatCode>
                <c:ptCount val="2"/>
                <c:pt idx="0">
                  <c:v>384</c:v>
                </c:pt>
                <c:pt idx="1">
                  <c:v>113</c:v>
                </c:pt>
              </c:numCache>
            </c:numRef>
          </c:val>
          <c:extLst xmlns:c16r2="http://schemas.microsoft.com/office/drawing/2015/06/chart">
            <c:ext xmlns:c16="http://schemas.microsoft.com/office/drawing/2014/chart" uri="{C3380CC4-5D6E-409C-BE32-E72D297353CC}">
              <c16:uniqueId val="{00000001-2DA6-4037-BBFF-FDA3AE71DC45}"/>
            </c:ext>
          </c:extLst>
        </c:ser>
        <c:ser>
          <c:idx val="2"/>
          <c:order val="2"/>
          <c:tx>
            <c:v>旅游饭店建筑</c:v>
          </c:tx>
          <c:spPr>
            <a:solidFill>
              <a:schemeClr val="accent3"/>
            </a:solidFill>
            <a:ln>
              <a:noFill/>
            </a:ln>
            <a:effectLst/>
          </c:spPr>
          <c:cat>
            <c:strRef>
              <c:f>市区!$G$1003:$H$1003</c:f>
              <c:strCache>
                <c:ptCount val="2"/>
                <c:pt idx="0">
                  <c:v>中心城区</c:v>
                </c:pt>
                <c:pt idx="1">
                  <c:v>非中心城区</c:v>
                </c:pt>
              </c:strCache>
            </c:strRef>
          </c:cat>
          <c:val>
            <c:numRef>
              <c:f>市区!$G$1006:$H$1006</c:f>
              <c:numCache>
                <c:formatCode>General</c:formatCode>
                <c:ptCount val="2"/>
                <c:pt idx="0">
                  <c:v>122</c:v>
                </c:pt>
                <c:pt idx="1">
                  <c:v>75</c:v>
                </c:pt>
              </c:numCache>
            </c:numRef>
          </c:val>
          <c:extLst xmlns:c16r2="http://schemas.microsoft.com/office/drawing/2015/06/chart">
            <c:ext xmlns:c16="http://schemas.microsoft.com/office/drawing/2014/chart" uri="{C3380CC4-5D6E-409C-BE32-E72D297353CC}">
              <c16:uniqueId val="{00000002-2DA6-4037-BBFF-FDA3AE71DC45}"/>
            </c:ext>
          </c:extLst>
        </c:ser>
        <c:ser>
          <c:idx val="3"/>
          <c:order val="3"/>
          <c:tx>
            <c:v>商场建筑</c:v>
          </c:tx>
          <c:spPr>
            <a:solidFill>
              <a:schemeClr val="accent4"/>
            </a:solidFill>
            <a:ln>
              <a:noFill/>
            </a:ln>
            <a:effectLst/>
          </c:spPr>
          <c:cat>
            <c:strRef>
              <c:f>市区!$G$1003:$H$1003</c:f>
              <c:strCache>
                <c:ptCount val="2"/>
                <c:pt idx="0">
                  <c:v>中心城区</c:v>
                </c:pt>
                <c:pt idx="1">
                  <c:v>非中心城区</c:v>
                </c:pt>
              </c:strCache>
            </c:strRef>
          </c:cat>
          <c:val>
            <c:numRef>
              <c:f>市区!$G$1007:$H$1007</c:f>
              <c:numCache>
                <c:formatCode>General</c:formatCode>
                <c:ptCount val="2"/>
                <c:pt idx="0">
                  <c:v>131</c:v>
                </c:pt>
                <c:pt idx="1">
                  <c:v>95</c:v>
                </c:pt>
              </c:numCache>
            </c:numRef>
          </c:val>
          <c:extLst xmlns:c16r2="http://schemas.microsoft.com/office/drawing/2015/06/chart">
            <c:ext xmlns:c16="http://schemas.microsoft.com/office/drawing/2014/chart" uri="{C3380CC4-5D6E-409C-BE32-E72D297353CC}">
              <c16:uniqueId val="{00000003-2DA6-4037-BBFF-FDA3AE71DC45}"/>
            </c:ext>
          </c:extLst>
        </c:ser>
        <c:ser>
          <c:idx val="4"/>
          <c:order val="4"/>
          <c:tx>
            <c:v>综合建筑</c:v>
          </c:tx>
          <c:spPr>
            <a:solidFill>
              <a:schemeClr val="accent5"/>
            </a:solidFill>
            <a:ln>
              <a:noFill/>
            </a:ln>
            <a:effectLst/>
          </c:spPr>
          <c:cat>
            <c:strRef>
              <c:f>市区!$G$1003:$H$1003</c:f>
              <c:strCache>
                <c:ptCount val="2"/>
                <c:pt idx="0">
                  <c:v>中心城区</c:v>
                </c:pt>
                <c:pt idx="1">
                  <c:v>非中心城区</c:v>
                </c:pt>
              </c:strCache>
            </c:strRef>
          </c:cat>
          <c:val>
            <c:numRef>
              <c:f>市区!$G$1008:$H$1008</c:f>
              <c:numCache>
                <c:formatCode>General</c:formatCode>
                <c:ptCount val="2"/>
                <c:pt idx="0">
                  <c:v>138</c:v>
                </c:pt>
                <c:pt idx="1">
                  <c:v>34</c:v>
                </c:pt>
              </c:numCache>
            </c:numRef>
          </c:val>
          <c:extLst xmlns:c16r2="http://schemas.microsoft.com/office/drawing/2015/06/chart">
            <c:ext xmlns:c16="http://schemas.microsoft.com/office/drawing/2014/chart" uri="{C3380CC4-5D6E-409C-BE32-E72D297353CC}">
              <c16:uniqueId val="{00000004-2DA6-4037-BBFF-FDA3AE71DC45}"/>
            </c:ext>
          </c:extLst>
        </c:ser>
        <c:ser>
          <c:idx val="5"/>
          <c:order val="5"/>
          <c:tx>
            <c:v>卫生建筑</c:v>
          </c:tx>
          <c:spPr>
            <a:solidFill>
              <a:schemeClr val="accent6"/>
            </a:solidFill>
            <a:ln>
              <a:noFill/>
            </a:ln>
            <a:effectLst/>
          </c:spPr>
          <c:cat>
            <c:strRef>
              <c:f>市区!$G$1003:$H$1003</c:f>
              <c:strCache>
                <c:ptCount val="2"/>
                <c:pt idx="0">
                  <c:v>中心城区</c:v>
                </c:pt>
                <c:pt idx="1">
                  <c:v>非中心城区</c:v>
                </c:pt>
              </c:strCache>
            </c:strRef>
          </c:cat>
          <c:val>
            <c:numRef>
              <c:f>市区!$G$1009:$H$1009</c:f>
              <c:numCache>
                <c:formatCode>General</c:formatCode>
                <c:ptCount val="2"/>
                <c:pt idx="0">
                  <c:v>68</c:v>
                </c:pt>
                <c:pt idx="1">
                  <c:v>37</c:v>
                </c:pt>
              </c:numCache>
            </c:numRef>
          </c:val>
          <c:extLst xmlns:c16r2="http://schemas.microsoft.com/office/drawing/2015/06/chart">
            <c:ext xmlns:c16="http://schemas.microsoft.com/office/drawing/2014/chart" uri="{C3380CC4-5D6E-409C-BE32-E72D297353CC}">
              <c16:uniqueId val="{00000005-2DA6-4037-BBFF-FDA3AE71DC45}"/>
            </c:ext>
          </c:extLst>
        </c:ser>
        <c:ser>
          <c:idx val="6"/>
          <c:order val="6"/>
          <c:tx>
            <c:v>教育建筑、文化建筑、体育建筑及其他建筑</c:v>
          </c:tx>
          <c:spPr>
            <a:solidFill>
              <a:schemeClr val="accent1">
                <a:lumMod val="60000"/>
              </a:schemeClr>
            </a:solidFill>
            <a:ln>
              <a:noFill/>
            </a:ln>
            <a:effectLst/>
          </c:spPr>
          <c:cat>
            <c:strRef>
              <c:f>市区!$G$1003:$H$1003</c:f>
              <c:strCache>
                <c:ptCount val="2"/>
                <c:pt idx="0">
                  <c:v>中心城区</c:v>
                </c:pt>
                <c:pt idx="1">
                  <c:v>非中心城区</c:v>
                </c:pt>
              </c:strCache>
            </c:strRef>
          </c:cat>
          <c:val>
            <c:numRef>
              <c:f>市区!$G$1010:$H$1010</c:f>
              <c:numCache>
                <c:formatCode>General</c:formatCode>
                <c:ptCount val="2"/>
                <c:pt idx="0">
                  <c:v>73</c:v>
                </c:pt>
                <c:pt idx="1">
                  <c:v>49</c:v>
                </c:pt>
              </c:numCache>
            </c:numRef>
          </c:val>
          <c:extLst xmlns:c16r2="http://schemas.microsoft.com/office/drawing/2015/06/chart">
            <c:ext xmlns:c16="http://schemas.microsoft.com/office/drawing/2014/chart" uri="{C3380CC4-5D6E-409C-BE32-E72D297353CC}">
              <c16:uniqueId val="{00000006-2DA6-4037-BBFF-FDA3AE71DC45}"/>
            </c:ext>
          </c:extLst>
        </c:ser>
        <c:gapWidth val="285"/>
        <c:overlap val="100"/>
        <c:axId val="176552576"/>
        <c:axId val="177021312"/>
      </c:barChart>
      <c:catAx>
        <c:axId val="176552576"/>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crossAx val="177021312"/>
        <c:crosses val="autoZero"/>
        <c:auto val="1"/>
        <c:lblAlgn val="ctr"/>
        <c:lblOffset val="100"/>
      </c:catAx>
      <c:valAx>
        <c:axId val="1770213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76552576"/>
        <c:crosses val="autoZero"/>
        <c:crossBetween val="between"/>
      </c:valAx>
      <c:spPr>
        <a:noFill/>
        <a:ln>
          <a:solidFill>
            <a:schemeClr val="tx1"/>
          </a:solidFill>
        </a:ln>
        <a:effectLst/>
      </c:spPr>
    </c:plotArea>
    <c:legend>
      <c:legendPos val="b"/>
      <c:layout>
        <c:manualLayout>
          <c:xMode val="edge"/>
          <c:yMode val="edge"/>
          <c:x val="0.69979531428350472"/>
          <c:y val="0.1296296296296299"/>
          <c:w val="0.26678265723113687"/>
          <c:h val="0.75983960338291123"/>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ln>
      <a:noFill/>
    </a:ln>
  </c:spPr>
  <c:txPr>
    <a:bodyPr/>
    <a:lstStyle/>
    <a:p>
      <a:pPr>
        <a:defRPr/>
      </a:pPr>
      <a:endParaRPr lang="zh-CN"/>
    </a:p>
  </c:tx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3480314960629899"/>
          <c:y val="3.2407407407407413E-2"/>
          <c:w val="0.80176859142607204"/>
          <c:h val="0.86019320501604002"/>
        </c:manualLayout>
      </c:layout>
      <c:barChart>
        <c:barDir val="col"/>
        <c:grouping val="clustered"/>
        <c:ser>
          <c:idx val="0"/>
          <c:order val="0"/>
          <c:tx>
            <c:v>2015</c:v>
          </c:tx>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区域分析结果!$A$13:$A$14</c:f>
              <c:strCache>
                <c:ptCount val="2"/>
                <c:pt idx="0">
                  <c:v>中心城区</c:v>
                </c:pt>
                <c:pt idx="1">
                  <c:v>非中心城区</c:v>
                </c:pt>
              </c:strCache>
            </c:strRef>
          </c:cat>
          <c:val>
            <c:numRef>
              <c:f>区域分析结果!$B$13:$B$14</c:f>
              <c:numCache>
                <c:formatCode>General</c:formatCode>
                <c:ptCount val="2"/>
                <c:pt idx="0">
                  <c:v>103.1</c:v>
                </c:pt>
                <c:pt idx="1">
                  <c:v>86.9</c:v>
                </c:pt>
              </c:numCache>
            </c:numRef>
          </c:val>
          <c:extLst xmlns:c16r2="http://schemas.microsoft.com/office/drawing/2015/06/chart">
            <c:ext xmlns:c16="http://schemas.microsoft.com/office/drawing/2014/chart" uri="{C3380CC4-5D6E-409C-BE32-E72D297353CC}">
              <c16:uniqueId val="{00000000-15BE-4017-8D1C-D3A08840CC66}"/>
            </c:ext>
          </c:extLst>
        </c:ser>
        <c:ser>
          <c:idx val="1"/>
          <c:order val="1"/>
          <c:tx>
            <c:v>2016</c:v>
          </c:tx>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区域分析结果!$A$13:$A$14</c:f>
              <c:strCache>
                <c:ptCount val="2"/>
                <c:pt idx="0">
                  <c:v>中心城区</c:v>
                </c:pt>
                <c:pt idx="1">
                  <c:v>非中心城区</c:v>
                </c:pt>
              </c:strCache>
            </c:strRef>
          </c:cat>
          <c:val>
            <c:numRef>
              <c:f>区域分析结果!$C$13:$C$14</c:f>
              <c:numCache>
                <c:formatCode>General</c:formatCode>
                <c:ptCount val="2"/>
                <c:pt idx="0">
                  <c:v>110.9</c:v>
                </c:pt>
                <c:pt idx="1">
                  <c:v>98.6</c:v>
                </c:pt>
              </c:numCache>
            </c:numRef>
          </c:val>
          <c:extLst xmlns:c16r2="http://schemas.microsoft.com/office/drawing/2015/06/chart">
            <c:ext xmlns:c16="http://schemas.microsoft.com/office/drawing/2014/chart" uri="{C3380CC4-5D6E-409C-BE32-E72D297353CC}">
              <c16:uniqueId val="{00000001-15BE-4017-8D1C-D3A08840CC66}"/>
            </c:ext>
          </c:extLst>
        </c:ser>
        <c:gapWidth val="345"/>
        <c:overlap val="-27"/>
        <c:axId val="176563328"/>
        <c:axId val="176564864"/>
      </c:barChart>
      <c:catAx>
        <c:axId val="176563328"/>
        <c:scaling>
          <c:orientation val="minMax"/>
        </c:scaling>
        <c:axPos val="b"/>
        <c:numFmt formatCode="General" sourceLinked="1"/>
        <c:majorTickMark val="in"/>
        <c:tickLblPos val="nextTo"/>
        <c:spPr>
          <a:noFill/>
          <a:ln w="9525" cap="flat" cmpd="sng" algn="ctr">
            <a:solidFill>
              <a:schemeClr val="tx1"/>
            </a:solidFill>
            <a:round/>
          </a:ln>
          <a:effectLst/>
        </c:spPr>
        <c:txPr>
          <a:bodyPr rot="-60000000" vert="horz"/>
          <a:lstStyle/>
          <a:p>
            <a:pPr>
              <a:defRPr/>
            </a:pPr>
            <a:endParaRPr lang="zh-CN"/>
          </a:p>
        </c:txPr>
        <c:crossAx val="176564864"/>
        <c:crosses val="autoZero"/>
        <c:auto val="1"/>
        <c:lblAlgn val="ctr"/>
        <c:lblOffset val="100"/>
      </c:catAx>
      <c:valAx>
        <c:axId val="176564864"/>
        <c:scaling>
          <c:orientation val="minMax"/>
          <c:min val="50"/>
        </c:scaling>
        <c:axPos val="l"/>
        <c:title>
          <c:tx>
            <c:rich>
              <a:bodyPr rot="-5400000" vert="horz"/>
              <a:lstStyle/>
              <a:p>
                <a:pPr>
                  <a:defRPr/>
                </a:pPr>
                <a:r>
                  <a:rPr lang="zh-CN"/>
                  <a:t>单位面积年平均用电量（</a:t>
                </a:r>
                <a:r>
                  <a:rPr lang="en-US"/>
                  <a:t>kWh/m</a:t>
                </a:r>
                <a:r>
                  <a:rPr lang="en-US" baseline="30000"/>
                  <a:t>2</a:t>
                </a:r>
                <a:r>
                  <a:rPr lang="zh-CN"/>
                  <a:t>）</a:t>
                </a:r>
              </a:p>
            </c:rich>
          </c:tx>
          <c:spPr>
            <a:noFill/>
            <a:ln>
              <a:noFill/>
            </a:ln>
            <a:effectLst/>
          </c:spPr>
        </c:title>
        <c:numFmt formatCode="General" sourceLinked="1"/>
        <c:majorTickMark val="in"/>
        <c:tickLblPos val="nextTo"/>
        <c:spPr>
          <a:noFill/>
          <a:ln>
            <a:solidFill>
              <a:schemeClr val="accent4">
                <a:lumMod val="50000"/>
              </a:schemeClr>
            </a:solidFill>
          </a:ln>
          <a:effectLst/>
        </c:spPr>
        <c:txPr>
          <a:bodyPr rot="-60000000" vert="horz"/>
          <a:lstStyle/>
          <a:p>
            <a:pPr>
              <a:defRPr/>
            </a:pPr>
            <a:endParaRPr lang="zh-CN"/>
          </a:p>
        </c:txPr>
        <c:crossAx val="176563328"/>
        <c:crosses val="autoZero"/>
        <c:crossBetween val="between"/>
      </c:valAx>
      <c:spPr>
        <a:noFill/>
        <a:ln>
          <a:solidFill>
            <a:schemeClr val="tx1"/>
          </a:solidFill>
        </a:ln>
        <a:effectLst/>
      </c:spPr>
    </c:plotArea>
    <c:legend>
      <c:legendPos val="t"/>
      <c:layout>
        <c:manualLayout>
          <c:xMode val="edge"/>
          <c:yMode val="edge"/>
          <c:x val="0.69235076218920899"/>
          <c:y val="5.0925925925925902E-2"/>
          <c:w val="0.207583114610674"/>
          <c:h val="7.8996427529892124E-2"/>
        </c:manualLayout>
      </c:layout>
      <c:spPr>
        <a:ln>
          <a:solidFill>
            <a:schemeClr val="tx1"/>
          </a:solidFill>
        </a:ln>
      </c:spPr>
    </c:legend>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9291776027996506E-2"/>
          <c:y val="0.16666666666666693"/>
          <c:w val="0.84510992287709918"/>
          <c:h val="0.54690703135792229"/>
        </c:manualLayout>
      </c:layout>
      <c:barChart>
        <c:barDir val="col"/>
        <c:grouping val="percentStacked"/>
        <c:ser>
          <c:idx val="0"/>
          <c:order val="0"/>
          <c:tx>
            <c:v>&lt;50</c:v>
          </c:tx>
          <c:spPr>
            <a:solidFill>
              <a:schemeClr val="accent5"/>
            </a:solidFill>
            <a:ln>
              <a:noFill/>
            </a:ln>
            <a:effectLst/>
          </c:spPr>
          <c:cat>
            <c:strRef>
              <c:f>行业分析结果!$B$1:$G$1</c:f>
              <c:strCache>
                <c:ptCount val="6"/>
                <c:pt idx="0">
                  <c:v>国家机关办公建筑</c:v>
                </c:pt>
                <c:pt idx="1">
                  <c:v>办公建筑</c:v>
                </c:pt>
                <c:pt idx="2">
                  <c:v>旅游饭店建筑</c:v>
                </c:pt>
                <c:pt idx="3">
                  <c:v>商场建筑</c:v>
                </c:pt>
                <c:pt idx="4">
                  <c:v>综合建筑</c:v>
                </c:pt>
                <c:pt idx="5">
                  <c:v>卫生建筑</c:v>
                </c:pt>
              </c:strCache>
            </c:strRef>
          </c:cat>
          <c:val>
            <c:numRef>
              <c:f>行业分析结果!$B$2:$G$2</c:f>
              <c:numCache>
                <c:formatCode>General</c:formatCode>
                <c:ptCount val="6"/>
                <c:pt idx="0">
                  <c:v>37</c:v>
                </c:pt>
                <c:pt idx="1">
                  <c:v>80</c:v>
                </c:pt>
                <c:pt idx="2">
                  <c:v>17</c:v>
                </c:pt>
                <c:pt idx="3">
                  <c:v>24</c:v>
                </c:pt>
                <c:pt idx="4">
                  <c:v>23</c:v>
                </c:pt>
                <c:pt idx="5">
                  <c:v>22</c:v>
                </c:pt>
              </c:numCache>
            </c:numRef>
          </c:val>
          <c:extLst xmlns:c16r2="http://schemas.microsoft.com/office/drawing/2015/06/chart">
            <c:ext xmlns:c16="http://schemas.microsoft.com/office/drawing/2014/chart" uri="{C3380CC4-5D6E-409C-BE32-E72D297353CC}">
              <c16:uniqueId val="{00000000-80A7-4C4C-B5B5-51E64346BB85}"/>
            </c:ext>
          </c:extLst>
        </c:ser>
        <c:ser>
          <c:idx val="1"/>
          <c:order val="1"/>
          <c:tx>
            <c:v>50~100</c:v>
          </c:tx>
          <c:spPr>
            <a:solidFill>
              <a:schemeClr val="accent6"/>
            </a:solidFill>
            <a:ln>
              <a:noFill/>
            </a:ln>
            <a:effectLst/>
          </c:spPr>
          <c:cat>
            <c:strRef>
              <c:f>行业分析结果!$B$1:$G$1</c:f>
              <c:strCache>
                <c:ptCount val="6"/>
                <c:pt idx="0">
                  <c:v>国家机关办公建筑</c:v>
                </c:pt>
                <c:pt idx="1">
                  <c:v>办公建筑</c:v>
                </c:pt>
                <c:pt idx="2">
                  <c:v>旅游饭店建筑</c:v>
                </c:pt>
                <c:pt idx="3">
                  <c:v>商场建筑</c:v>
                </c:pt>
                <c:pt idx="4">
                  <c:v>综合建筑</c:v>
                </c:pt>
                <c:pt idx="5">
                  <c:v>卫生建筑</c:v>
                </c:pt>
              </c:strCache>
            </c:strRef>
          </c:cat>
          <c:val>
            <c:numRef>
              <c:f>行业分析结果!$B$3:$G$3</c:f>
              <c:numCache>
                <c:formatCode>General</c:formatCode>
                <c:ptCount val="6"/>
                <c:pt idx="0">
                  <c:v>44</c:v>
                </c:pt>
                <c:pt idx="1">
                  <c:v>157</c:v>
                </c:pt>
                <c:pt idx="2">
                  <c:v>42</c:v>
                </c:pt>
                <c:pt idx="3">
                  <c:v>26</c:v>
                </c:pt>
                <c:pt idx="4">
                  <c:v>49</c:v>
                </c:pt>
                <c:pt idx="5">
                  <c:v>16</c:v>
                </c:pt>
              </c:numCache>
            </c:numRef>
          </c:val>
          <c:extLst xmlns:c16r2="http://schemas.microsoft.com/office/drawing/2015/06/chart">
            <c:ext xmlns:c16="http://schemas.microsoft.com/office/drawing/2014/chart" uri="{C3380CC4-5D6E-409C-BE32-E72D297353CC}">
              <c16:uniqueId val="{00000001-80A7-4C4C-B5B5-51E64346BB85}"/>
            </c:ext>
          </c:extLst>
        </c:ser>
        <c:ser>
          <c:idx val="2"/>
          <c:order val="2"/>
          <c:tx>
            <c:v>100~150</c:v>
          </c:tx>
          <c:spPr>
            <a:solidFill>
              <a:schemeClr val="accent4"/>
            </a:solidFill>
            <a:ln>
              <a:noFill/>
            </a:ln>
            <a:effectLst/>
          </c:spPr>
          <c:cat>
            <c:strRef>
              <c:f>行业分析结果!$B$1:$G$1</c:f>
              <c:strCache>
                <c:ptCount val="6"/>
                <c:pt idx="0">
                  <c:v>国家机关办公建筑</c:v>
                </c:pt>
                <c:pt idx="1">
                  <c:v>办公建筑</c:v>
                </c:pt>
                <c:pt idx="2">
                  <c:v>旅游饭店建筑</c:v>
                </c:pt>
                <c:pt idx="3">
                  <c:v>商场建筑</c:v>
                </c:pt>
                <c:pt idx="4">
                  <c:v>综合建筑</c:v>
                </c:pt>
                <c:pt idx="5">
                  <c:v>卫生建筑</c:v>
                </c:pt>
              </c:strCache>
            </c:strRef>
          </c:cat>
          <c:val>
            <c:numRef>
              <c:f>行业分析结果!$B$4:$G$4</c:f>
              <c:numCache>
                <c:formatCode>General</c:formatCode>
                <c:ptCount val="6"/>
                <c:pt idx="0">
                  <c:v>15</c:v>
                </c:pt>
                <c:pt idx="1">
                  <c:v>79</c:v>
                </c:pt>
                <c:pt idx="2">
                  <c:v>31</c:v>
                </c:pt>
                <c:pt idx="3">
                  <c:v>29</c:v>
                </c:pt>
                <c:pt idx="4">
                  <c:v>28</c:v>
                </c:pt>
                <c:pt idx="5">
                  <c:v>22</c:v>
                </c:pt>
              </c:numCache>
            </c:numRef>
          </c:val>
          <c:extLst xmlns:c16r2="http://schemas.microsoft.com/office/drawing/2015/06/chart">
            <c:ext xmlns:c16="http://schemas.microsoft.com/office/drawing/2014/chart" uri="{C3380CC4-5D6E-409C-BE32-E72D297353CC}">
              <c16:uniqueId val="{00000002-80A7-4C4C-B5B5-51E64346BB85}"/>
            </c:ext>
          </c:extLst>
        </c:ser>
        <c:ser>
          <c:idx val="3"/>
          <c:order val="3"/>
          <c:tx>
            <c:v>150~200</c:v>
          </c:tx>
          <c:spPr>
            <a:solidFill>
              <a:schemeClr val="accent2"/>
            </a:solidFill>
            <a:ln>
              <a:noFill/>
            </a:ln>
            <a:effectLst/>
          </c:spPr>
          <c:cat>
            <c:strRef>
              <c:f>行业分析结果!$B$1:$G$1</c:f>
              <c:strCache>
                <c:ptCount val="6"/>
                <c:pt idx="0">
                  <c:v>国家机关办公建筑</c:v>
                </c:pt>
                <c:pt idx="1">
                  <c:v>办公建筑</c:v>
                </c:pt>
                <c:pt idx="2">
                  <c:v>旅游饭店建筑</c:v>
                </c:pt>
                <c:pt idx="3">
                  <c:v>商场建筑</c:v>
                </c:pt>
                <c:pt idx="4">
                  <c:v>综合建筑</c:v>
                </c:pt>
                <c:pt idx="5">
                  <c:v>卫生建筑</c:v>
                </c:pt>
              </c:strCache>
            </c:strRef>
          </c:cat>
          <c:val>
            <c:numRef>
              <c:f>行业分析结果!$B$5:$G$5</c:f>
              <c:numCache>
                <c:formatCode>General</c:formatCode>
                <c:ptCount val="6"/>
                <c:pt idx="0">
                  <c:v>6</c:v>
                </c:pt>
                <c:pt idx="1">
                  <c:v>22</c:v>
                </c:pt>
                <c:pt idx="2">
                  <c:v>17</c:v>
                </c:pt>
                <c:pt idx="3">
                  <c:v>22</c:v>
                </c:pt>
                <c:pt idx="4">
                  <c:v>7</c:v>
                </c:pt>
                <c:pt idx="5">
                  <c:v>9</c:v>
                </c:pt>
              </c:numCache>
            </c:numRef>
          </c:val>
          <c:extLst xmlns:c16r2="http://schemas.microsoft.com/office/drawing/2015/06/chart">
            <c:ext xmlns:c16="http://schemas.microsoft.com/office/drawing/2014/chart" uri="{C3380CC4-5D6E-409C-BE32-E72D297353CC}">
              <c16:uniqueId val="{00000003-80A7-4C4C-B5B5-51E64346BB85}"/>
            </c:ext>
          </c:extLst>
        </c:ser>
        <c:ser>
          <c:idx val="4"/>
          <c:order val="4"/>
          <c:tx>
            <c:v>200~300</c:v>
          </c:tx>
          <c:spPr>
            <a:solidFill>
              <a:schemeClr val="accent2">
                <a:lumMod val="75000"/>
              </a:schemeClr>
            </a:solidFill>
            <a:ln>
              <a:noFill/>
            </a:ln>
            <a:effectLst/>
          </c:spPr>
          <c:cat>
            <c:strRef>
              <c:f>行业分析结果!$B$1:$G$1</c:f>
              <c:strCache>
                <c:ptCount val="6"/>
                <c:pt idx="0">
                  <c:v>国家机关办公建筑</c:v>
                </c:pt>
                <c:pt idx="1">
                  <c:v>办公建筑</c:v>
                </c:pt>
                <c:pt idx="2">
                  <c:v>旅游饭店建筑</c:v>
                </c:pt>
                <c:pt idx="3">
                  <c:v>商场建筑</c:v>
                </c:pt>
                <c:pt idx="4">
                  <c:v>综合建筑</c:v>
                </c:pt>
                <c:pt idx="5">
                  <c:v>卫生建筑</c:v>
                </c:pt>
              </c:strCache>
            </c:strRef>
          </c:cat>
          <c:val>
            <c:numRef>
              <c:f>行业分析结果!$B$6:$G$6</c:f>
              <c:numCache>
                <c:formatCode>General</c:formatCode>
                <c:ptCount val="6"/>
                <c:pt idx="0">
                  <c:v>5</c:v>
                </c:pt>
                <c:pt idx="1">
                  <c:v>13</c:v>
                </c:pt>
                <c:pt idx="2">
                  <c:v>16</c:v>
                </c:pt>
                <c:pt idx="3">
                  <c:v>32</c:v>
                </c:pt>
                <c:pt idx="4">
                  <c:v>8</c:v>
                </c:pt>
                <c:pt idx="5">
                  <c:v>13</c:v>
                </c:pt>
              </c:numCache>
            </c:numRef>
          </c:val>
          <c:extLst xmlns:c16r2="http://schemas.microsoft.com/office/drawing/2015/06/chart">
            <c:ext xmlns:c16="http://schemas.microsoft.com/office/drawing/2014/chart" uri="{C3380CC4-5D6E-409C-BE32-E72D297353CC}">
              <c16:uniqueId val="{00000004-80A7-4C4C-B5B5-51E64346BB85}"/>
            </c:ext>
          </c:extLst>
        </c:ser>
        <c:ser>
          <c:idx val="5"/>
          <c:order val="5"/>
          <c:tx>
            <c:v>300~400</c:v>
          </c:tx>
          <c:spPr>
            <a:solidFill>
              <a:srgbClr val="C00000"/>
            </a:solidFill>
            <a:ln>
              <a:noFill/>
            </a:ln>
            <a:effectLst/>
          </c:spPr>
          <c:cat>
            <c:strRef>
              <c:f>行业分析结果!$B$1:$G$1</c:f>
              <c:strCache>
                <c:ptCount val="6"/>
                <c:pt idx="0">
                  <c:v>国家机关办公建筑</c:v>
                </c:pt>
                <c:pt idx="1">
                  <c:v>办公建筑</c:v>
                </c:pt>
                <c:pt idx="2">
                  <c:v>旅游饭店建筑</c:v>
                </c:pt>
                <c:pt idx="3">
                  <c:v>商场建筑</c:v>
                </c:pt>
                <c:pt idx="4">
                  <c:v>综合建筑</c:v>
                </c:pt>
                <c:pt idx="5">
                  <c:v>卫生建筑</c:v>
                </c:pt>
              </c:strCache>
            </c:strRef>
          </c:cat>
          <c:val>
            <c:numRef>
              <c:f>行业分析结果!$B$7:$G$7</c:f>
              <c:numCache>
                <c:formatCode>General</c:formatCode>
                <c:ptCount val="6"/>
                <c:pt idx="0">
                  <c:v>1</c:v>
                </c:pt>
                <c:pt idx="1">
                  <c:v>1</c:v>
                </c:pt>
                <c:pt idx="2">
                  <c:v>3</c:v>
                </c:pt>
                <c:pt idx="3">
                  <c:v>2</c:v>
                </c:pt>
                <c:pt idx="4">
                  <c:v>0</c:v>
                </c:pt>
                <c:pt idx="5">
                  <c:v>5</c:v>
                </c:pt>
              </c:numCache>
            </c:numRef>
          </c:val>
          <c:extLst xmlns:c16r2="http://schemas.microsoft.com/office/drawing/2015/06/chart">
            <c:ext xmlns:c16="http://schemas.microsoft.com/office/drawing/2014/chart" uri="{C3380CC4-5D6E-409C-BE32-E72D297353CC}">
              <c16:uniqueId val="{00000005-80A7-4C4C-B5B5-51E64346BB85}"/>
            </c:ext>
          </c:extLst>
        </c:ser>
        <c:ser>
          <c:idx val="6"/>
          <c:order val="6"/>
          <c:tx>
            <c:v>&gt;400</c:v>
          </c:tx>
          <c:spPr>
            <a:solidFill>
              <a:srgbClr val="7030A0"/>
            </a:solidFill>
            <a:ln>
              <a:noFill/>
            </a:ln>
            <a:effectLst/>
          </c:spPr>
          <c:cat>
            <c:strRef>
              <c:f>行业分析结果!$B$1:$G$1</c:f>
              <c:strCache>
                <c:ptCount val="6"/>
                <c:pt idx="0">
                  <c:v>国家机关办公建筑</c:v>
                </c:pt>
                <c:pt idx="1">
                  <c:v>办公建筑</c:v>
                </c:pt>
                <c:pt idx="2">
                  <c:v>旅游饭店建筑</c:v>
                </c:pt>
                <c:pt idx="3">
                  <c:v>商场建筑</c:v>
                </c:pt>
                <c:pt idx="4">
                  <c:v>综合建筑</c:v>
                </c:pt>
                <c:pt idx="5">
                  <c:v>卫生建筑</c:v>
                </c:pt>
              </c:strCache>
            </c:strRef>
          </c:cat>
          <c:val>
            <c:numRef>
              <c:f>行业分析结果!$B$8:$G$8</c:f>
              <c:numCache>
                <c:formatCode>General</c:formatCode>
                <c:ptCount val="6"/>
                <c:pt idx="0">
                  <c:v>1</c:v>
                </c:pt>
                <c:pt idx="1">
                  <c:v>0</c:v>
                </c:pt>
                <c:pt idx="2">
                  <c:v>1</c:v>
                </c:pt>
                <c:pt idx="3">
                  <c:v>2</c:v>
                </c:pt>
                <c:pt idx="4">
                  <c:v>1</c:v>
                </c:pt>
                <c:pt idx="5">
                  <c:v>2</c:v>
                </c:pt>
              </c:numCache>
            </c:numRef>
          </c:val>
          <c:extLst xmlns:c16r2="http://schemas.microsoft.com/office/drawing/2015/06/chart">
            <c:ext xmlns:c16="http://schemas.microsoft.com/office/drawing/2014/chart" uri="{C3380CC4-5D6E-409C-BE32-E72D297353CC}">
              <c16:uniqueId val="{00000006-80A7-4C4C-B5B5-51E64346BB85}"/>
            </c:ext>
          </c:extLst>
        </c:ser>
        <c:overlap val="100"/>
        <c:axId val="177043328"/>
        <c:axId val="177044864"/>
      </c:barChart>
      <c:catAx>
        <c:axId val="177043328"/>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77044864"/>
        <c:crosses val="autoZero"/>
        <c:auto val="1"/>
        <c:lblAlgn val="ctr"/>
        <c:lblOffset val="100"/>
      </c:catAx>
      <c:valAx>
        <c:axId val="17704486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77043328"/>
        <c:crosses val="autoZero"/>
        <c:crossBetween val="between"/>
      </c:valAx>
      <c:spPr>
        <a:noFill/>
        <a:ln>
          <a:solidFill>
            <a:schemeClr val="tx1"/>
          </a:solidFill>
        </a:ln>
        <a:effectLst/>
      </c:spPr>
    </c:plotArea>
    <c:legend>
      <c:legendPos val="b"/>
      <c:layout>
        <c:manualLayout>
          <c:xMode val="edge"/>
          <c:yMode val="edge"/>
          <c:x val="9.0657042869641352E-2"/>
          <c:y val="2.3726305045202688E-2"/>
          <c:w val="0.85201902887139103"/>
          <c:h val="7.8125546806649196E-2"/>
        </c:manualLayout>
      </c:layout>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legend>
    <c:plotVisOnly val="1"/>
    <c:dispBlanksAs val="gap"/>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zh-CN"/>
    </a:p>
  </c:txPr>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0483761045761703"/>
          <c:y val="5.0925925925925902E-2"/>
          <c:w val="0.88113566794370768"/>
          <c:h val="0.85587504451390861"/>
        </c:manualLayout>
      </c:layout>
      <c:barChart>
        <c:barDir val="col"/>
        <c:grouping val="clustered"/>
        <c:ser>
          <c:idx val="0"/>
          <c:order val="0"/>
          <c:tx>
            <c:v>2014</c:v>
          </c:tx>
          <c:spPr>
            <a:solidFill>
              <a:schemeClr val="accent1"/>
            </a:solidFill>
            <a:ln>
              <a:noFill/>
            </a:ln>
            <a:effectLst/>
          </c:spPr>
          <c:cat>
            <c:strRef>
              <c:f>全市结果!$X$2:$X$6</c:f>
              <c:strCache>
                <c:ptCount val="5"/>
                <c:pt idx="0">
                  <c:v>国家机关办公建筑</c:v>
                </c:pt>
                <c:pt idx="1">
                  <c:v>办公建筑</c:v>
                </c:pt>
                <c:pt idx="2">
                  <c:v>旅游饭店建筑</c:v>
                </c:pt>
                <c:pt idx="3">
                  <c:v>商场建筑</c:v>
                </c:pt>
                <c:pt idx="4">
                  <c:v>综合建筑</c:v>
                </c:pt>
              </c:strCache>
            </c:strRef>
          </c:cat>
          <c:val>
            <c:numRef>
              <c:f>全市结果!$Y$2:$Y$6</c:f>
              <c:numCache>
                <c:formatCode>General</c:formatCode>
                <c:ptCount val="5"/>
                <c:pt idx="0">
                  <c:v>82.5</c:v>
                </c:pt>
                <c:pt idx="1">
                  <c:v>88.8</c:v>
                </c:pt>
                <c:pt idx="2">
                  <c:v>105.9</c:v>
                </c:pt>
                <c:pt idx="3">
                  <c:v>160.6</c:v>
                </c:pt>
                <c:pt idx="4">
                  <c:v>97.6</c:v>
                </c:pt>
              </c:numCache>
            </c:numRef>
          </c:val>
          <c:extLst xmlns:c16r2="http://schemas.microsoft.com/office/drawing/2015/06/chart">
            <c:ext xmlns:c16="http://schemas.microsoft.com/office/drawing/2014/chart" uri="{C3380CC4-5D6E-409C-BE32-E72D297353CC}">
              <c16:uniqueId val="{00000000-8BD6-4089-96FA-8146E61F8515}"/>
            </c:ext>
          </c:extLst>
        </c:ser>
        <c:ser>
          <c:idx val="1"/>
          <c:order val="1"/>
          <c:tx>
            <c:v>2015</c:v>
          </c:tx>
          <c:spPr>
            <a:solidFill>
              <a:schemeClr val="accent2"/>
            </a:solidFill>
            <a:ln>
              <a:noFill/>
            </a:ln>
            <a:effectLst/>
          </c:spPr>
          <c:cat>
            <c:strRef>
              <c:f>全市结果!$X$2:$X$6</c:f>
              <c:strCache>
                <c:ptCount val="5"/>
                <c:pt idx="0">
                  <c:v>国家机关办公建筑</c:v>
                </c:pt>
                <c:pt idx="1">
                  <c:v>办公建筑</c:v>
                </c:pt>
                <c:pt idx="2">
                  <c:v>旅游饭店建筑</c:v>
                </c:pt>
                <c:pt idx="3">
                  <c:v>商场建筑</c:v>
                </c:pt>
                <c:pt idx="4">
                  <c:v>综合建筑</c:v>
                </c:pt>
              </c:strCache>
            </c:strRef>
          </c:cat>
          <c:val>
            <c:numRef>
              <c:f>全市结果!$Z$2:$Z$6</c:f>
              <c:numCache>
                <c:formatCode>General</c:formatCode>
                <c:ptCount val="5"/>
                <c:pt idx="0">
                  <c:v>68.3</c:v>
                </c:pt>
                <c:pt idx="1">
                  <c:v>86.2</c:v>
                </c:pt>
                <c:pt idx="2">
                  <c:v>120.7</c:v>
                </c:pt>
                <c:pt idx="3">
                  <c:v>139.5</c:v>
                </c:pt>
                <c:pt idx="4">
                  <c:v>101</c:v>
                </c:pt>
              </c:numCache>
            </c:numRef>
          </c:val>
          <c:extLst xmlns:c16r2="http://schemas.microsoft.com/office/drawing/2015/06/chart">
            <c:ext xmlns:c16="http://schemas.microsoft.com/office/drawing/2014/chart" uri="{C3380CC4-5D6E-409C-BE32-E72D297353CC}">
              <c16:uniqueId val="{00000001-8BD6-4089-96FA-8146E61F8515}"/>
            </c:ext>
          </c:extLst>
        </c:ser>
        <c:ser>
          <c:idx val="2"/>
          <c:order val="2"/>
          <c:tx>
            <c:v>2016</c:v>
          </c:tx>
          <c:spPr>
            <a:solidFill>
              <a:schemeClr val="accent3"/>
            </a:solidFill>
            <a:ln>
              <a:noFill/>
            </a:ln>
            <a:effectLst/>
          </c:spPr>
          <c:cat>
            <c:strRef>
              <c:f>全市结果!$X$2:$X$6</c:f>
              <c:strCache>
                <c:ptCount val="5"/>
                <c:pt idx="0">
                  <c:v>国家机关办公建筑</c:v>
                </c:pt>
                <c:pt idx="1">
                  <c:v>办公建筑</c:v>
                </c:pt>
                <c:pt idx="2">
                  <c:v>旅游饭店建筑</c:v>
                </c:pt>
                <c:pt idx="3">
                  <c:v>商场建筑</c:v>
                </c:pt>
                <c:pt idx="4">
                  <c:v>综合建筑</c:v>
                </c:pt>
              </c:strCache>
            </c:strRef>
          </c:cat>
          <c:val>
            <c:numRef>
              <c:f>全市结果!$AA$2:$AA$6</c:f>
              <c:numCache>
                <c:formatCode>0.0_ </c:formatCode>
                <c:ptCount val="5"/>
                <c:pt idx="0">
                  <c:v>84.961306610625499</c:v>
                </c:pt>
                <c:pt idx="1">
                  <c:v>91.338423767589788</c:v>
                </c:pt>
                <c:pt idx="2">
                  <c:v>124.80004166532203</c:v>
                </c:pt>
                <c:pt idx="3">
                  <c:v>145.8921669566821</c:v>
                </c:pt>
                <c:pt idx="4">
                  <c:v>100.70716980307303</c:v>
                </c:pt>
              </c:numCache>
            </c:numRef>
          </c:val>
          <c:extLst xmlns:c16r2="http://schemas.microsoft.com/office/drawing/2015/06/chart">
            <c:ext xmlns:c16="http://schemas.microsoft.com/office/drawing/2014/chart" uri="{C3380CC4-5D6E-409C-BE32-E72D297353CC}">
              <c16:uniqueId val="{00000002-8BD6-4089-96FA-8146E61F8515}"/>
            </c:ext>
          </c:extLst>
        </c:ser>
        <c:gapWidth val="219"/>
        <c:overlap val="-27"/>
        <c:axId val="177894912"/>
        <c:axId val="177896448"/>
      </c:barChart>
      <c:catAx>
        <c:axId val="177894912"/>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177896448"/>
        <c:crosses val="autoZero"/>
        <c:auto val="1"/>
        <c:lblAlgn val="ctr"/>
        <c:lblOffset val="100"/>
      </c:catAx>
      <c:valAx>
        <c:axId val="177896448"/>
        <c:scaling>
          <c:orientation val="minMax"/>
        </c:scaling>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宋体" panose="02010600030101010101" pitchFamily="2" charset="-122"/>
                    <a:cs typeface="Times New Roman" panose="02020603050405020304" pitchFamily="18" charset="0"/>
                  </a:defRPr>
                </a:pPr>
                <a:r>
                  <a:rPr lang="zh-CN" b="1"/>
                  <a:t>单位面积年</a:t>
                </a:r>
                <a:r>
                  <a:rPr lang="zh-CN" altLang="en-US" b="1"/>
                  <a:t>平均</a:t>
                </a:r>
                <a:r>
                  <a:rPr lang="zh-CN" b="1"/>
                  <a:t>用电量（</a:t>
                </a:r>
                <a:r>
                  <a:rPr lang="en-US" altLang="zh-CN" b="1"/>
                  <a:t>kWh/m</a:t>
                </a:r>
                <a:r>
                  <a:rPr lang="en-US" altLang="zh-CN" b="1" baseline="30000"/>
                  <a:t>2</a:t>
                </a:r>
                <a:r>
                  <a:rPr lang="zh-CN" b="1"/>
                  <a:t>）</a:t>
                </a:r>
              </a:p>
            </c:rich>
          </c:tx>
          <c:layout>
            <c:manualLayout>
              <c:xMode val="edge"/>
              <c:yMode val="edge"/>
              <c:x val="1.216217777178831E-2"/>
              <c:y val="6.6827839987338308E-2"/>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177894912"/>
        <c:crosses val="autoZero"/>
        <c:crossBetween val="between"/>
      </c:valAx>
      <c:spPr>
        <a:noFill/>
        <a:ln>
          <a:solidFill>
            <a:schemeClr val="tx1"/>
          </a:solidFill>
        </a:ln>
        <a:effectLst/>
      </c:spPr>
    </c:plotArea>
    <c:legend>
      <c:legendPos val="b"/>
      <c:layout>
        <c:manualLayout>
          <c:xMode val="edge"/>
          <c:yMode val="edge"/>
          <c:x val="0.13084522921932701"/>
          <c:y val="8.4677441635585007E-2"/>
          <c:w val="0.26100000000000001"/>
          <c:h val="6.9027777777777799E-2"/>
        </c:manualLayout>
      </c:layout>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legend>
    <c:plotVisOnly val="1"/>
    <c:dispBlanksAs val="gap"/>
  </c:chart>
  <c:spPr>
    <a:solidFill>
      <a:schemeClr val="bg1"/>
    </a:solidFill>
    <a:ln w="9525" cap="flat" cmpd="sng" algn="ctr">
      <a:noFill/>
      <a:round/>
    </a:ln>
    <a:effectLst/>
  </c:spPr>
  <c:txPr>
    <a:bodyPr/>
    <a:lstStyle/>
    <a:p>
      <a:pPr>
        <a:defRPr>
          <a:latin typeface="Times New Roman" panose="02020603050405020304" pitchFamily="18" charset="0"/>
          <a:ea typeface="宋体" panose="02010600030101010101" pitchFamily="2" charset="-122"/>
          <a:cs typeface="Times New Roman" panose="02020603050405020304" pitchFamily="18" charset="0"/>
        </a:defRPr>
      </a:pPr>
      <a:endParaRPr lang="zh-CN"/>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4344925634295737E-2"/>
          <c:y val="0.16555681835095695"/>
          <c:w val="0.87964246050502826"/>
          <c:h val="0.5428848107696217"/>
        </c:manualLayout>
      </c:layout>
      <c:barChart>
        <c:barDir val="col"/>
        <c:grouping val="percentStacked"/>
        <c:ser>
          <c:idx val="0"/>
          <c:order val="0"/>
          <c:tx>
            <c:v>照明插座</c:v>
          </c:tx>
          <c:spPr>
            <a:solidFill>
              <a:schemeClr val="accent1"/>
            </a:solidFill>
            <a:ln>
              <a:noFill/>
            </a:ln>
            <a:effectLst/>
          </c:spPr>
          <c:cat>
            <c:strRef>
              <c:f>分项结果!$B$2:$B$7</c:f>
              <c:strCache>
                <c:ptCount val="6"/>
                <c:pt idx="0">
                  <c:v>国家机关办公建筑</c:v>
                </c:pt>
                <c:pt idx="1">
                  <c:v>办公建筑</c:v>
                </c:pt>
                <c:pt idx="2">
                  <c:v>旅游饭店建筑</c:v>
                </c:pt>
                <c:pt idx="3">
                  <c:v>商场建筑</c:v>
                </c:pt>
                <c:pt idx="4">
                  <c:v>综合建筑</c:v>
                </c:pt>
                <c:pt idx="5">
                  <c:v>卫生建筑</c:v>
                </c:pt>
              </c:strCache>
            </c:strRef>
          </c:cat>
          <c:val>
            <c:numRef>
              <c:f>分项结果!$P$2:$P$7</c:f>
              <c:numCache>
                <c:formatCode>General</c:formatCode>
                <c:ptCount val="6"/>
                <c:pt idx="0">
                  <c:v>25.601867103577707</c:v>
                </c:pt>
                <c:pt idx="1">
                  <c:v>48.991870627206794</c:v>
                </c:pt>
                <c:pt idx="2">
                  <c:v>51.296200418366496</c:v>
                </c:pt>
                <c:pt idx="3">
                  <c:v>92.272398905321637</c:v>
                </c:pt>
                <c:pt idx="4">
                  <c:v>51.666132157867715</c:v>
                </c:pt>
                <c:pt idx="5">
                  <c:v>36.732551042705218</c:v>
                </c:pt>
              </c:numCache>
            </c:numRef>
          </c:val>
          <c:extLst xmlns:c16r2="http://schemas.microsoft.com/office/drawing/2015/06/chart">
            <c:ext xmlns:c16="http://schemas.microsoft.com/office/drawing/2014/chart" uri="{C3380CC4-5D6E-409C-BE32-E72D297353CC}">
              <c16:uniqueId val="{00000000-EAEB-4E0E-B476-319CF8BCECC3}"/>
            </c:ext>
          </c:extLst>
        </c:ser>
        <c:ser>
          <c:idx val="1"/>
          <c:order val="1"/>
          <c:tx>
            <c:v>空调</c:v>
          </c:tx>
          <c:spPr>
            <a:solidFill>
              <a:schemeClr val="accent2"/>
            </a:solidFill>
            <a:ln>
              <a:noFill/>
            </a:ln>
            <a:effectLst/>
          </c:spPr>
          <c:cat>
            <c:strRef>
              <c:f>分项结果!$B$2:$B$7</c:f>
              <c:strCache>
                <c:ptCount val="6"/>
                <c:pt idx="0">
                  <c:v>国家机关办公建筑</c:v>
                </c:pt>
                <c:pt idx="1">
                  <c:v>办公建筑</c:v>
                </c:pt>
                <c:pt idx="2">
                  <c:v>旅游饭店建筑</c:v>
                </c:pt>
                <c:pt idx="3">
                  <c:v>商场建筑</c:v>
                </c:pt>
                <c:pt idx="4">
                  <c:v>综合建筑</c:v>
                </c:pt>
                <c:pt idx="5">
                  <c:v>卫生建筑</c:v>
                </c:pt>
              </c:strCache>
            </c:strRef>
          </c:cat>
          <c:val>
            <c:numRef>
              <c:f>分项结果!$Q$2:$Q$7</c:f>
              <c:numCache>
                <c:formatCode>General</c:formatCode>
                <c:ptCount val="6"/>
                <c:pt idx="0">
                  <c:v>28.892679980982688</c:v>
                </c:pt>
                <c:pt idx="1">
                  <c:v>31.161431537577087</c:v>
                </c:pt>
                <c:pt idx="2">
                  <c:v>42.547766612606573</c:v>
                </c:pt>
                <c:pt idx="3">
                  <c:v>41.431031015710687</c:v>
                </c:pt>
                <c:pt idx="4">
                  <c:v>30.525684045635391</c:v>
                </c:pt>
                <c:pt idx="5">
                  <c:v>51.743175288149615</c:v>
                </c:pt>
              </c:numCache>
            </c:numRef>
          </c:val>
          <c:extLst xmlns:c16r2="http://schemas.microsoft.com/office/drawing/2015/06/chart">
            <c:ext xmlns:c16="http://schemas.microsoft.com/office/drawing/2014/chart" uri="{C3380CC4-5D6E-409C-BE32-E72D297353CC}">
              <c16:uniqueId val="{00000001-EAEB-4E0E-B476-319CF8BCECC3}"/>
            </c:ext>
          </c:extLst>
        </c:ser>
        <c:ser>
          <c:idx val="2"/>
          <c:order val="2"/>
          <c:tx>
            <c:v>动力</c:v>
          </c:tx>
          <c:spPr>
            <a:solidFill>
              <a:schemeClr val="accent3"/>
            </a:solidFill>
            <a:ln>
              <a:noFill/>
            </a:ln>
            <a:effectLst/>
          </c:spPr>
          <c:cat>
            <c:strRef>
              <c:f>分项结果!$B$2:$B$7</c:f>
              <c:strCache>
                <c:ptCount val="6"/>
                <c:pt idx="0">
                  <c:v>国家机关办公建筑</c:v>
                </c:pt>
                <c:pt idx="1">
                  <c:v>办公建筑</c:v>
                </c:pt>
                <c:pt idx="2">
                  <c:v>旅游饭店建筑</c:v>
                </c:pt>
                <c:pt idx="3">
                  <c:v>商场建筑</c:v>
                </c:pt>
                <c:pt idx="4">
                  <c:v>综合建筑</c:v>
                </c:pt>
                <c:pt idx="5">
                  <c:v>卫生建筑</c:v>
                </c:pt>
              </c:strCache>
            </c:strRef>
          </c:cat>
          <c:val>
            <c:numRef>
              <c:f>分项结果!$R$2:$R$7</c:f>
              <c:numCache>
                <c:formatCode>General</c:formatCode>
                <c:ptCount val="6"/>
                <c:pt idx="0">
                  <c:v>11.8603983459742</c:v>
                </c:pt>
                <c:pt idx="1">
                  <c:v>11.186033905552801</c:v>
                </c:pt>
                <c:pt idx="2">
                  <c:v>10.5987560051224</c:v>
                </c:pt>
                <c:pt idx="3">
                  <c:v>11.742481725290601</c:v>
                </c:pt>
                <c:pt idx="4">
                  <c:v>9.7318840461756899</c:v>
                </c:pt>
                <c:pt idx="5">
                  <c:v>7.6423898453770684</c:v>
                </c:pt>
              </c:numCache>
            </c:numRef>
          </c:val>
          <c:extLst xmlns:c16r2="http://schemas.microsoft.com/office/drawing/2015/06/chart">
            <c:ext xmlns:c16="http://schemas.microsoft.com/office/drawing/2014/chart" uri="{C3380CC4-5D6E-409C-BE32-E72D297353CC}">
              <c16:uniqueId val="{00000002-EAEB-4E0E-B476-319CF8BCECC3}"/>
            </c:ext>
          </c:extLst>
        </c:ser>
        <c:ser>
          <c:idx val="3"/>
          <c:order val="3"/>
          <c:tx>
            <c:v>特殊</c:v>
          </c:tx>
          <c:spPr>
            <a:solidFill>
              <a:schemeClr val="accent4"/>
            </a:solidFill>
            <a:ln>
              <a:noFill/>
            </a:ln>
            <a:effectLst/>
          </c:spPr>
          <c:cat>
            <c:strRef>
              <c:f>分项结果!$B$2:$B$7</c:f>
              <c:strCache>
                <c:ptCount val="6"/>
                <c:pt idx="0">
                  <c:v>国家机关办公建筑</c:v>
                </c:pt>
                <c:pt idx="1">
                  <c:v>办公建筑</c:v>
                </c:pt>
                <c:pt idx="2">
                  <c:v>旅游饭店建筑</c:v>
                </c:pt>
                <c:pt idx="3">
                  <c:v>商场建筑</c:v>
                </c:pt>
                <c:pt idx="4">
                  <c:v>综合建筑</c:v>
                </c:pt>
                <c:pt idx="5">
                  <c:v>卫生建筑</c:v>
                </c:pt>
              </c:strCache>
            </c:strRef>
          </c:cat>
          <c:val>
            <c:numRef>
              <c:f>分项结果!$S$2:$S$7</c:f>
              <c:numCache>
                <c:formatCode>General</c:formatCode>
                <c:ptCount val="6"/>
                <c:pt idx="0">
                  <c:v>13.581594667730204</c:v>
                </c:pt>
                <c:pt idx="1">
                  <c:v>10.372831555779207</c:v>
                </c:pt>
                <c:pt idx="2">
                  <c:v>20.029002797154799</c:v>
                </c:pt>
                <c:pt idx="3">
                  <c:v>16.4733683574892</c:v>
                </c:pt>
                <c:pt idx="4">
                  <c:v>9.9013888288664695</c:v>
                </c:pt>
                <c:pt idx="5">
                  <c:v>25.334862302619513</c:v>
                </c:pt>
              </c:numCache>
            </c:numRef>
          </c:val>
          <c:extLst xmlns:c16r2="http://schemas.microsoft.com/office/drawing/2015/06/chart">
            <c:ext xmlns:c16="http://schemas.microsoft.com/office/drawing/2014/chart" uri="{C3380CC4-5D6E-409C-BE32-E72D297353CC}">
              <c16:uniqueId val="{00000003-EAEB-4E0E-B476-319CF8BCECC3}"/>
            </c:ext>
          </c:extLst>
        </c:ser>
        <c:gapWidth val="285"/>
        <c:overlap val="100"/>
        <c:axId val="177486464"/>
        <c:axId val="177508736"/>
      </c:barChart>
      <c:catAx>
        <c:axId val="177486464"/>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vert="horz"/>
          <a:lstStyle/>
          <a:p>
            <a:pPr>
              <a:defRPr/>
            </a:pPr>
            <a:endParaRPr lang="zh-CN"/>
          </a:p>
        </c:txPr>
        <c:crossAx val="177508736"/>
        <c:crosses val="autoZero"/>
        <c:auto val="1"/>
        <c:lblAlgn val="ctr"/>
        <c:lblOffset val="100"/>
      </c:catAx>
      <c:valAx>
        <c:axId val="17750873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solidFill>
              <a:schemeClr val="tx1"/>
            </a:solidFill>
          </a:ln>
          <a:effectLst/>
        </c:spPr>
        <c:txPr>
          <a:bodyPr rot="-60000000" vert="horz"/>
          <a:lstStyle/>
          <a:p>
            <a:pPr>
              <a:defRPr/>
            </a:pPr>
            <a:endParaRPr lang="zh-CN"/>
          </a:p>
        </c:txPr>
        <c:crossAx val="177486464"/>
        <c:crosses val="autoZero"/>
        <c:crossBetween val="between"/>
      </c:valAx>
      <c:spPr>
        <a:noFill/>
        <a:ln>
          <a:solidFill>
            <a:schemeClr val="tx1"/>
          </a:solidFill>
        </a:ln>
        <a:effectLst/>
      </c:spPr>
    </c:plotArea>
    <c:legend>
      <c:legendPos val="b"/>
      <c:layout>
        <c:manualLayout>
          <c:xMode val="edge"/>
          <c:yMode val="edge"/>
          <c:x val="5.8843175853018417E-2"/>
          <c:y val="4.3818586978016029E-2"/>
          <c:w val="0.91893460192475873"/>
          <c:h val="6.5688277832943925E-2"/>
        </c:manualLayout>
      </c:layout>
      <c:spPr>
        <a:noFill/>
        <a:ln>
          <a:solidFill>
            <a:schemeClr val="tx1"/>
          </a:solidFill>
        </a:ln>
        <a:effectLst/>
      </c:spPr>
      <c:txPr>
        <a:bodyPr rot="0" vert="horz"/>
        <a:lstStyle/>
        <a:p>
          <a:pPr>
            <a:defRPr/>
          </a:pPr>
          <a:endParaRPr lang="zh-CN"/>
        </a:p>
      </c:txPr>
    </c:legend>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zh-CN"/>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27756118899771681"/>
          <c:y val="4.7945597709377216E-2"/>
          <c:w val="0.4454557992001103"/>
          <c:h val="0.82397959183673453"/>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561-40F4-8A94-EFB04561F98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561-40F4-8A94-EFB04561F98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561-40F4-8A94-EFB04561F98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561-40F4-8A94-EFB04561F98A}"/>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561-40F4-8A94-EFB04561F98A}"/>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A561-40F4-8A94-EFB04561F98A}"/>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A561-40F4-8A94-EFB04561F98A}"/>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A561-40F4-8A94-EFB04561F98A}"/>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A561-40F4-8A94-EFB04561F98A}"/>
              </c:ext>
            </c:extLst>
          </c:dPt>
          <c:dLbls>
            <c:dLbl>
              <c:idx val="0"/>
              <c:layout>
                <c:manualLayout>
                  <c:x val="-0.11085236220472394"/>
                  <c:y val="0.18746828521434811"/>
                </c:manualLayout>
              </c:layout>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561-40F4-8A94-EFB04561F98A}"/>
                </c:ext>
              </c:extLst>
            </c:dLbl>
            <c:dLbl>
              <c:idx val="1"/>
              <c:layout>
                <c:manualLayout>
                  <c:x val="4.7591863517059295E-3"/>
                  <c:y val="-8.6319262175561504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561-40F4-8A94-EFB04561F98A}"/>
                </c:ext>
              </c:extLst>
            </c:dLbl>
            <c:dLbl>
              <c:idx val="2"/>
              <c:layout>
                <c:manualLayout>
                  <c:x val="4.0668853893263301E-2"/>
                  <c:y val="1.4880796150481199E-2"/>
                </c:manualLayout>
              </c:layout>
              <c:tx>
                <c:rich>
                  <a:bodyPr/>
                  <a:lstStyle/>
                  <a:p>
                    <a:fld id="{EA8CFCB3-128D-48A8-A026-49706D5664F0}" type="CATEGORYNAME">
                      <a:rPr lang="zh-CN" altLang="en-US">
                        <a:solidFill>
                          <a:sysClr val="windowText" lastClr="000000"/>
                        </a:solidFill>
                      </a:rPr>
                      <a:pPr/>
                      <a:t>[类别名称]</a:t>
                    </a:fld>
                    <a:r>
                      <a:rPr lang="zh-CN" altLang="en-US" baseline="0">
                        <a:solidFill>
                          <a:sysClr val="windowText" lastClr="000000"/>
                        </a:solidFill>
                      </a:rPr>
                      <a:t>
</a:t>
                    </a:r>
                    <a:fld id="{68E659C4-8276-4D45-AC78-2FA0B4A6B3F3}" type="PERCENTAGE">
                      <a:rPr lang="en-US" altLang="zh-CN" baseline="0">
                        <a:solidFill>
                          <a:sysClr val="windowText" lastClr="000000"/>
                        </a:solidFill>
                      </a:rPr>
                      <a:pPr/>
                      <a:t>[百分比]</a:t>
                    </a:fld>
                    <a:endParaRPr lang="zh-CN" altLang="en-US" baseline="0">
                      <a:solidFill>
                        <a:sysClr val="windowText" lastClr="000000"/>
                      </a:solidFill>
                    </a:endParaRPr>
                  </a:p>
                </c:rich>
              </c:tx>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A561-40F4-8A94-EFB04561F98A}"/>
                </c:ext>
              </c:extLst>
            </c:dLbl>
            <c:dLbl>
              <c:idx val="3"/>
              <c:layout>
                <c:manualLayout>
                  <c:x val="-0.10770625546806706"/>
                  <c:y val="-0.2231875182268879"/>
                </c:manualLayout>
              </c:layout>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561-40F4-8A94-EFB04561F98A}"/>
                </c:ext>
              </c:extLst>
            </c:dLbl>
            <c:dLbl>
              <c:idx val="4"/>
              <c:layout>
                <c:manualLayout>
                  <c:x val="0.14653215223097099"/>
                  <c:y val="8.7448964712744187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561-40F4-8A94-EFB04561F98A}"/>
                </c:ext>
              </c:extLst>
            </c:dLbl>
            <c:dLbl>
              <c:idx val="7"/>
              <c:layout>
                <c:manualLayout>
                  <c:x val="-6.9252077865266923E-2"/>
                  <c:y val="-0.20721347331583606"/>
                </c:manualLayout>
              </c:layout>
              <c:showCatName val="1"/>
              <c:showPercent val="1"/>
              <c:extLst xmlns:c16r2="http://schemas.microsoft.com/office/drawing/2015/06/chart">
                <c:ext xmlns:c15="http://schemas.microsoft.com/office/drawing/2012/chart" uri="{CE6537A1-D6FC-4f65-9D91-7224C49458BB}">
                  <c15:layout>
                    <c:manualLayout>
                      <c:w val="0.24512489063866999"/>
                      <c:h val="0.22268518518518499"/>
                    </c:manualLayout>
                  </c15:layout>
                </c:ext>
                <c:ext xmlns:c16="http://schemas.microsoft.com/office/drawing/2014/chart" uri="{C3380CC4-5D6E-409C-BE32-E72D297353CC}">
                  <c16:uniqueId val="{0000000F-A561-40F4-8A94-EFB04561F98A}"/>
                </c:ext>
              </c:extLst>
            </c:dLbl>
            <c:dLbl>
              <c:idx val="8"/>
              <c:layout>
                <c:manualLayout>
                  <c:x val="0.16190048118985106"/>
                  <c:y val="0.11102216389618003"/>
                </c:manualLayout>
              </c:layout>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A561-40F4-8A94-EFB04561F98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超大型!$D$90:$D$98</c:f>
              <c:strCache>
                <c:ptCount val="9"/>
                <c:pt idx="0">
                  <c:v>办公建筑</c:v>
                </c:pt>
                <c:pt idx="1">
                  <c:v>旅游饭店建筑</c:v>
                </c:pt>
                <c:pt idx="2">
                  <c:v>教育建筑</c:v>
                </c:pt>
                <c:pt idx="3">
                  <c:v>商场建筑</c:v>
                </c:pt>
                <c:pt idx="4">
                  <c:v>体育建筑</c:v>
                </c:pt>
                <c:pt idx="5">
                  <c:v>文化建筑</c:v>
                </c:pt>
                <c:pt idx="6">
                  <c:v>卫生建筑</c:v>
                </c:pt>
                <c:pt idx="7">
                  <c:v>国家机关办公建筑</c:v>
                </c:pt>
                <c:pt idx="8">
                  <c:v>综合建筑</c:v>
                </c:pt>
              </c:strCache>
            </c:strRef>
          </c:cat>
          <c:val>
            <c:numRef>
              <c:f>超大型!$E$90:$E$98</c:f>
              <c:numCache>
                <c:formatCode>General</c:formatCode>
                <c:ptCount val="9"/>
                <c:pt idx="0">
                  <c:v>16</c:v>
                </c:pt>
                <c:pt idx="1">
                  <c:v>5</c:v>
                </c:pt>
                <c:pt idx="2">
                  <c:v>3</c:v>
                </c:pt>
                <c:pt idx="3">
                  <c:v>26</c:v>
                </c:pt>
                <c:pt idx="4">
                  <c:v>1</c:v>
                </c:pt>
                <c:pt idx="5">
                  <c:v>1</c:v>
                </c:pt>
                <c:pt idx="6">
                  <c:v>1</c:v>
                </c:pt>
                <c:pt idx="7">
                  <c:v>2</c:v>
                </c:pt>
                <c:pt idx="8">
                  <c:v>30</c:v>
                </c:pt>
              </c:numCache>
            </c:numRef>
          </c:val>
          <c:extLst xmlns:c16r2="http://schemas.microsoft.com/office/drawing/2015/06/chart">
            <c:ext xmlns:c16="http://schemas.microsoft.com/office/drawing/2014/chart" uri="{C3380CC4-5D6E-409C-BE32-E72D297353CC}">
              <c16:uniqueId val="{00000014-A561-40F4-8A94-EFB04561F98A}"/>
            </c:ext>
          </c:extLst>
        </c:ser>
        <c:firstSliceAng val="0"/>
      </c:pieChart>
    </c:plotArea>
    <c:plotVisOnly val="1"/>
    <c:dispBlanksAs val="zero"/>
  </c:chart>
  <c:spPr>
    <a:ln>
      <a:noFill/>
    </a:ln>
  </c:spPr>
  <c:txPr>
    <a:bodyPr/>
    <a:lstStyle/>
    <a:p>
      <a:pPr>
        <a:defRPr b="1">
          <a:latin typeface="宋体" panose="02010600030101010101" pitchFamily="2" charset="-122"/>
          <a:ea typeface="宋体" panose="02010600030101010101" pitchFamily="2" charset="-122"/>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0551267725197704"/>
          <c:y val="7.3528590881027103E-2"/>
          <c:w val="0.84055357274265863"/>
          <c:h val="0.77642227052445523"/>
        </c:manualLayout>
      </c:layout>
      <c:barChart>
        <c:barDir val="col"/>
        <c:grouping val="clustered"/>
        <c:ser>
          <c:idx val="0"/>
          <c:order val="0"/>
          <c:spPr>
            <a:solidFill>
              <a:schemeClr val="accent1"/>
            </a:solidFill>
            <a:ln>
              <a:noFill/>
            </a:ln>
            <a:effectLst/>
          </c:spPr>
          <c:dLbls>
            <c:dLbl>
              <c:idx val="0"/>
              <c:layout>
                <c:manualLayout>
                  <c:x val="-2.4691358024691609E-3"/>
                  <c:y val="9.881847475832443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E79-4B0E-AE78-EE0D7324FA4D}"/>
                </c:ext>
              </c:extLst>
            </c:dLbl>
            <c:dLbl>
              <c:idx val="1"/>
              <c:layout>
                <c:manualLayout>
                  <c:x val="-4.5266966784071175E-17"/>
                  <c:y val="0.1117078410311490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E79-4B0E-AE78-EE0D7324FA4D}"/>
                </c:ext>
              </c:extLst>
            </c:dLbl>
            <c:dLbl>
              <c:idx val="2"/>
              <c:layout>
                <c:manualLayout>
                  <c:x val="-9.0533933568143977E-17"/>
                  <c:y val="0.1160042964554240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E79-4B0E-AE78-EE0D7324FA4D}"/>
                </c:ext>
              </c:extLst>
            </c:dLbl>
            <c:dLbl>
              <c:idx val="3"/>
              <c:layout>
                <c:manualLayout>
                  <c:x val="0"/>
                  <c:y val="0.1031149301825990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E79-4B0E-AE78-EE0D7324FA4D}"/>
                </c:ext>
              </c:extLst>
            </c:dLbl>
            <c:dLbl>
              <c:idx val="4"/>
              <c:layout>
                <c:manualLayout>
                  <c:x val="0"/>
                  <c:y val="9.452201933404945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E79-4B0E-AE78-EE0D7324FA4D}"/>
                </c:ext>
              </c:extLst>
            </c:dLbl>
            <c:dLbl>
              <c:idx val="5"/>
              <c:layout>
                <c:manualLayout>
                  <c:x val="0"/>
                  <c:y val="9.022556390977447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E79-4B0E-AE78-EE0D7324FA4D}"/>
                </c:ext>
              </c:extLst>
            </c:dLbl>
            <c:spPr>
              <a:noFill/>
              <a:ln>
                <a:noFill/>
              </a:ln>
              <a:effectLst/>
            </c:spPr>
            <c:txPr>
              <a:bodyPr/>
              <a:lstStyle/>
              <a:p>
                <a:pPr>
                  <a:defRPr b="1">
                    <a:solidFill>
                      <a:schemeClr val="bg1"/>
                    </a:solidFill>
                  </a:defRPr>
                </a:pPr>
                <a:endParaRPr lang="zh-CN"/>
              </a:p>
            </c:txPr>
            <c:showVal val="1"/>
            <c:extLst xmlns:c16r2="http://schemas.microsoft.com/office/drawing/2015/06/chart">
              <c:ext xmlns:c15="http://schemas.microsoft.com/office/drawing/2012/chart" uri="{CE6537A1-D6FC-4f65-9D91-7224C49458BB}">
                <c15:showLeaderLines val="1"/>
              </c:ext>
            </c:extLst>
          </c:dLbls>
          <c:cat>
            <c:strRef>
              <c:f>'2016年总名单'!$R$3:$R$8</c:f>
              <c:strCache>
                <c:ptCount val="6"/>
                <c:pt idx="0">
                  <c:v>&lt;1</c:v>
                </c:pt>
                <c:pt idx="1">
                  <c:v>1~2</c:v>
                </c:pt>
                <c:pt idx="2">
                  <c:v>2~4</c:v>
                </c:pt>
                <c:pt idx="3">
                  <c:v>4~6</c:v>
                </c:pt>
                <c:pt idx="4">
                  <c:v>6~10</c:v>
                </c:pt>
                <c:pt idx="5">
                  <c:v>&gt;10</c:v>
                </c:pt>
              </c:strCache>
            </c:strRef>
          </c:cat>
          <c:val>
            <c:numRef>
              <c:f>'2016年总名单'!$Q$3:$Q$8</c:f>
              <c:numCache>
                <c:formatCode>General</c:formatCode>
                <c:ptCount val="6"/>
                <c:pt idx="0">
                  <c:v>91</c:v>
                </c:pt>
                <c:pt idx="1">
                  <c:v>187</c:v>
                </c:pt>
                <c:pt idx="2">
                  <c:v>657</c:v>
                </c:pt>
                <c:pt idx="3">
                  <c:v>285</c:v>
                </c:pt>
                <c:pt idx="4">
                  <c:v>196</c:v>
                </c:pt>
                <c:pt idx="5">
                  <c:v>85</c:v>
                </c:pt>
              </c:numCache>
            </c:numRef>
          </c:val>
          <c:extLst xmlns:c16r2="http://schemas.microsoft.com/office/drawing/2015/06/chart">
            <c:ext xmlns:c16="http://schemas.microsoft.com/office/drawing/2014/chart" uri="{C3380CC4-5D6E-409C-BE32-E72D297353CC}">
              <c16:uniqueId val="{00000006-AE79-4B0E-AE78-EE0D7324FA4D}"/>
            </c:ext>
          </c:extLst>
        </c:ser>
        <c:gapWidth val="219"/>
        <c:overlap val="-27"/>
        <c:axId val="164978688"/>
        <c:axId val="164980608"/>
      </c:barChart>
      <c:catAx>
        <c:axId val="164978688"/>
        <c:scaling>
          <c:orientation val="minMax"/>
        </c:scaling>
        <c:axPos val="b"/>
        <c:title>
          <c:tx>
            <c:rich>
              <a:bodyPr/>
              <a:lstStyle/>
              <a:p>
                <a:pPr>
                  <a:defRPr/>
                </a:pPr>
                <a:r>
                  <a:rPr lang="zh-CN"/>
                  <a:t>建筑面积（万</a:t>
                </a:r>
                <a:r>
                  <a:rPr lang="en-US"/>
                  <a:t>m</a:t>
                </a:r>
                <a:r>
                  <a:rPr lang="en-US" baseline="30000"/>
                  <a:t>2</a:t>
                </a:r>
                <a:r>
                  <a:rPr lang="zh-CN"/>
                  <a:t>）</a:t>
                </a:r>
              </a:p>
            </c:rich>
          </c:tx>
        </c:title>
        <c:numFmt formatCode="General" sourceLinked="1"/>
        <c:majorTickMark val="in"/>
        <c:tickLblPos val="nextTo"/>
        <c:spPr>
          <a:noFill/>
          <a:ln w="9525" cap="flat" cmpd="sng" algn="ctr">
            <a:solidFill>
              <a:schemeClr val="tx1"/>
            </a:solidFill>
            <a:round/>
          </a:ln>
          <a:effectLst/>
        </c:spPr>
        <c:txPr>
          <a:bodyPr rot="-60000000" vert="horz"/>
          <a:lstStyle/>
          <a:p>
            <a:pPr>
              <a:defRPr/>
            </a:pPr>
            <a:endParaRPr lang="zh-CN"/>
          </a:p>
        </c:txPr>
        <c:crossAx val="164980608"/>
        <c:crosses val="autoZero"/>
        <c:auto val="1"/>
        <c:lblAlgn val="ctr"/>
        <c:lblOffset val="100"/>
      </c:catAx>
      <c:valAx>
        <c:axId val="164980608"/>
        <c:scaling>
          <c:orientation val="minMax"/>
        </c:scaling>
        <c:axPos val="l"/>
        <c:title>
          <c:tx>
            <c:rich>
              <a:bodyPr rot="-5400000" vert="horz"/>
              <a:lstStyle/>
              <a:p>
                <a:pPr>
                  <a:defRPr/>
                </a:pPr>
                <a:r>
                  <a:rPr lang="zh-CN"/>
                  <a:t>建筑数量（栋）</a:t>
                </a:r>
              </a:p>
            </c:rich>
          </c:tx>
          <c:spPr>
            <a:noFill/>
            <a:ln>
              <a:noFill/>
            </a:ln>
            <a:effectLst/>
          </c:spPr>
        </c:title>
        <c:numFmt formatCode="General" sourceLinked="1"/>
        <c:majorTickMark val="in"/>
        <c:tickLblPos val="nextTo"/>
        <c:spPr>
          <a:noFill/>
          <a:ln>
            <a:solidFill>
              <a:schemeClr val="accent4">
                <a:lumMod val="50000"/>
              </a:schemeClr>
            </a:solidFill>
          </a:ln>
          <a:effectLst/>
        </c:spPr>
        <c:txPr>
          <a:bodyPr rot="-60000000" vert="horz"/>
          <a:lstStyle/>
          <a:p>
            <a:pPr>
              <a:defRPr sz="1000" b="0"/>
            </a:pPr>
            <a:endParaRPr lang="zh-CN"/>
          </a:p>
        </c:txPr>
        <c:crossAx val="164978688"/>
        <c:crosses val="autoZero"/>
        <c:crossBetween val="between"/>
      </c:valAx>
      <c:spPr>
        <a:noFill/>
        <a:ln>
          <a:solidFill>
            <a:schemeClr val="tx1"/>
          </a:solidFill>
        </a:ln>
        <a:effectLst/>
      </c:spPr>
    </c:plotArea>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5702537182852105"/>
          <c:y val="2.5702261355261598E-2"/>
          <c:w val="0.79621303587051573"/>
          <c:h val="0.62326150020721072"/>
        </c:manualLayout>
      </c:layout>
      <c:barChart>
        <c:barDir val="col"/>
        <c:grouping val="clustered"/>
        <c:ser>
          <c:idx val="0"/>
          <c:order val="0"/>
          <c:spPr>
            <a:solidFill>
              <a:schemeClr val="accent1"/>
            </a:solidFill>
            <a:ln>
              <a:noFill/>
            </a:ln>
            <a:effectLst/>
          </c:spPr>
          <c:cat>
            <c:strRef>
              <c:f>'2016年总名单'!$C$1543:$C$1552</c:f>
              <c:strCache>
                <c:ptCount val="10"/>
                <c:pt idx="0">
                  <c:v>综合建筑</c:v>
                </c:pt>
                <c:pt idx="1">
                  <c:v>商场建筑</c:v>
                </c:pt>
                <c:pt idx="2">
                  <c:v>办公建筑</c:v>
                </c:pt>
                <c:pt idx="3">
                  <c:v>旅游饭店建筑</c:v>
                </c:pt>
                <c:pt idx="4">
                  <c:v>其他建筑</c:v>
                </c:pt>
                <c:pt idx="5">
                  <c:v>教育建筑</c:v>
                </c:pt>
                <c:pt idx="6">
                  <c:v>体育建筑</c:v>
                </c:pt>
                <c:pt idx="7">
                  <c:v>文化建筑</c:v>
                </c:pt>
                <c:pt idx="8">
                  <c:v>卫生建筑</c:v>
                </c:pt>
                <c:pt idx="9">
                  <c:v>国家机关办公建筑</c:v>
                </c:pt>
              </c:strCache>
            </c:strRef>
          </c:cat>
          <c:val>
            <c:numRef>
              <c:f>'2016年总名单'!$D$1543:$D$1552</c:f>
              <c:numCache>
                <c:formatCode>General</c:formatCode>
                <c:ptCount val="10"/>
                <c:pt idx="0">
                  <c:v>64421.056802325613</c:v>
                </c:pt>
                <c:pt idx="1">
                  <c:v>56653.020884955738</c:v>
                </c:pt>
                <c:pt idx="2">
                  <c:v>44047.392937625751</c:v>
                </c:pt>
                <c:pt idx="3">
                  <c:v>42701.362741116725</c:v>
                </c:pt>
                <c:pt idx="4">
                  <c:v>38075.009642857127</c:v>
                </c:pt>
                <c:pt idx="5">
                  <c:v>37114.294999999998</c:v>
                </c:pt>
                <c:pt idx="6">
                  <c:v>35502.906000000003</c:v>
                </c:pt>
                <c:pt idx="7">
                  <c:v>35368.333333333336</c:v>
                </c:pt>
                <c:pt idx="8">
                  <c:v>32085.067238095224</c:v>
                </c:pt>
                <c:pt idx="9">
                  <c:v>20247.160329670303</c:v>
                </c:pt>
              </c:numCache>
            </c:numRef>
          </c:val>
          <c:extLst xmlns:c16r2="http://schemas.microsoft.com/office/drawing/2015/06/chart">
            <c:ext xmlns:c16="http://schemas.microsoft.com/office/drawing/2014/chart" uri="{C3380CC4-5D6E-409C-BE32-E72D297353CC}">
              <c16:uniqueId val="{00000000-64D3-4565-9BA7-749CDEC8535C}"/>
            </c:ext>
          </c:extLst>
        </c:ser>
        <c:gapWidth val="219"/>
        <c:overlap val="-27"/>
        <c:axId val="165008896"/>
        <c:axId val="165010432"/>
      </c:barChart>
      <c:catAx>
        <c:axId val="165008896"/>
        <c:scaling>
          <c:orientation val="minMax"/>
        </c:scaling>
        <c:axPos val="b"/>
        <c:numFmt formatCode="General" sourceLinked="1"/>
        <c:majorTickMark val="in"/>
        <c:tickLblPos val="nextTo"/>
        <c:spPr>
          <a:noFill/>
          <a:ln w="9525" cap="flat" cmpd="sng" algn="ctr">
            <a:solidFill>
              <a:schemeClr val="tx1"/>
            </a:solidFill>
            <a:round/>
          </a:ln>
          <a:effectLst/>
        </c:spPr>
        <c:txPr>
          <a:bodyPr rot="-60000000" vert="horz"/>
          <a:lstStyle/>
          <a:p>
            <a:pPr>
              <a:defRPr/>
            </a:pPr>
            <a:endParaRPr lang="zh-CN"/>
          </a:p>
        </c:txPr>
        <c:crossAx val="165010432"/>
        <c:crosses val="autoZero"/>
        <c:auto val="1"/>
        <c:lblAlgn val="ctr"/>
        <c:lblOffset val="100"/>
      </c:catAx>
      <c:valAx>
        <c:axId val="165010432"/>
        <c:scaling>
          <c:orientation val="minMax"/>
        </c:scaling>
        <c:axPos val="l"/>
        <c:title>
          <c:tx>
            <c:rich>
              <a:bodyPr rot="-5400000" vert="horz"/>
              <a:lstStyle/>
              <a:p>
                <a:pPr>
                  <a:defRPr/>
                </a:pPr>
                <a:r>
                  <a:rPr lang="zh-CN"/>
                  <a:t>建筑面积（</a:t>
                </a:r>
                <a:r>
                  <a:rPr lang="en-US"/>
                  <a:t>m</a:t>
                </a:r>
                <a:r>
                  <a:rPr lang="en-US" baseline="30000"/>
                  <a:t>2</a:t>
                </a:r>
                <a:r>
                  <a:rPr lang="zh-CN"/>
                  <a:t>）</a:t>
                </a:r>
              </a:p>
            </c:rich>
          </c:tx>
          <c:layout>
            <c:manualLayout>
              <c:xMode val="edge"/>
              <c:yMode val="edge"/>
              <c:x val="1.0231673398861722E-2"/>
              <c:y val="0.119058885581886"/>
            </c:manualLayout>
          </c:layout>
          <c:spPr>
            <a:noFill/>
            <a:ln>
              <a:noFill/>
            </a:ln>
            <a:effectLst/>
          </c:spPr>
        </c:title>
        <c:numFmt formatCode="General" sourceLinked="1"/>
        <c:majorTickMark val="in"/>
        <c:tickLblPos val="nextTo"/>
        <c:spPr>
          <a:noFill/>
          <a:ln>
            <a:solidFill>
              <a:schemeClr val="accent4">
                <a:lumMod val="50000"/>
              </a:schemeClr>
            </a:solidFill>
          </a:ln>
          <a:effectLst/>
        </c:spPr>
        <c:txPr>
          <a:bodyPr rot="-60000000" vert="horz"/>
          <a:lstStyle/>
          <a:p>
            <a:pPr>
              <a:defRPr/>
            </a:pPr>
            <a:endParaRPr lang="zh-CN"/>
          </a:p>
        </c:txPr>
        <c:crossAx val="165008896"/>
        <c:crosses val="autoZero"/>
        <c:crossBetween val="between"/>
      </c:valAx>
      <c:spPr>
        <a:noFill/>
        <a:ln>
          <a:solidFill>
            <a:schemeClr val="tx1"/>
          </a:solidFill>
        </a:ln>
        <a:effectLst/>
      </c:spPr>
    </c:plotArea>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22546332163343127"/>
          <c:y val="0.21367449874948771"/>
          <c:w val="0.50988467239355773"/>
          <c:h val="0.74425454223737864"/>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4FA-4DD9-92AB-96557C16BDBE}"/>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4FA-4DD9-92AB-96557C16BDBE}"/>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4FA-4DD9-92AB-96557C16BDBE}"/>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4FA-4DD9-92AB-96557C16BDBE}"/>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4FA-4DD9-92AB-96557C16BDBE}"/>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A4FA-4DD9-92AB-96557C16BDBE}"/>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A4FA-4DD9-92AB-96557C16BDBE}"/>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A4FA-4DD9-92AB-96557C16BDBE}"/>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A4FA-4DD9-92AB-96557C16BDBE}"/>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A4FA-4DD9-92AB-96557C16BDBE}"/>
              </c:ext>
            </c:extLst>
          </c:dPt>
          <c:dLbls>
            <c:dLbl>
              <c:idx val="0"/>
              <c:layout>
                <c:manualLayout>
                  <c:x val="0.24189108621744182"/>
                  <c:y val="5.3962808276866711E-2"/>
                </c:manualLayout>
              </c:layout>
              <c:showCatName val="1"/>
              <c:showPercent val="1"/>
              <c:extLst xmlns:c16r2="http://schemas.microsoft.com/office/drawing/2015/06/chart">
                <c:ext xmlns:c15="http://schemas.microsoft.com/office/drawing/2012/chart" uri="{CE6537A1-D6FC-4f65-9D91-7224C49458BB}">
                  <c15:layout>
                    <c:manualLayout>
                      <c:w val="0.29459773091694547"/>
                      <c:h val="0.15566899996975864"/>
                    </c:manualLayout>
                  </c15:layout>
                </c:ext>
                <c:ext xmlns:c16="http://schemas.microsoft.com/office/drawing/2014/chart" uri="{C3380CC4-5D6E-409C-BE32-E72D297353CC}">
                  <c16:uniqueId val="{00000001-A4FA-4DD9-92AB-96557C16BDBE}"/>
                </c:ext>
              </c:extLst>
            </c:dLbl>
            <c:dLbl>
              <c:idx val="1"/>
              <c:layout>
                <c:manualLayout>
                  <c:x val="-0.15654446972994732"/>
                  <c:y val="8.6050497920745733E-2"/>
                </c:manualLayout>
              </c:layout>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4FA-4DD9-92AB-96557C16BDBE}"/>
                </c:ext>
              </c:extLst>
            </c:dLbl>
            <c:dLbl>
              <c:idx val="2"/>
              <c:tx>
                <c:rich>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fld id="{EA8CFCB3-128D-48A8-A026-49706D5664F0}" type="CATEGORYNAME">
                      <a:rPr lang="zh-CN" altLang="en-US" sz="1000">
                        <a:solidFill>
                          <a:schemeClr val="bg1"/>
                        </a:solidFill>
                        <a:latin typeface="Times New Roman" panose="02020603050405020304" pitchFamily="18" charset="0"/>
                        <a:cs typeface="Times New Roman" panose="02020603050405020304" pitchFamily="18" charset="0"/>
                      </a:rPr>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t>[类别名称]</a:t>
                    </a:fld>
                    <a:r>
                      <a:rPr lang="zh-CN" altLang="en-US" sz="1000" baseline="0">
                        <a:solidFill>
                          <a:schemeClr val="bg1"/>
                        </a:solidFill>
                        <a:latin typeface="Times New Roman" panose="02020603050405020304" pitchFamily="18" charset="0"/>
                        <a:cs typeface="Times New Roman" panose="02020603050405020304" pitchFamily="18" charset="0"/>
                      </a:rPr>
                      <a:t>
</a:t>
                    </a:r>
                    <a:fld id="{68E659C4-8276-4D45-AC78-2FA0B4A6B3F3}" type="PERCENTAGE">
                      <a:rPr lang="en-US" altLang="zh-CN" sz="1000" baseline="0">
                        <a:solidFill>
                          <a:schemeClr val="bg1"/>
                        </a:solidFill>
                        <a:latin typeface="Times New Roman" panose="02020603050405020304" pitchFamily="18" charset="0"/>
                        <a:cs typeface="Times New Roman" panose="02020603050405020304" pitchFamily="18" charset="0"/>
                      </a:rPr>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t>[百分比]</a:t>
                    </a:fld>
                    <a:endParaRPr lang="zh-CN" altLang="en-US" sz="1000" baseline="0">
                      <a:solidFill>
                        <a:schemeClr val="bg1"/>
                      </a:solidFill>
                      <a:latin typeface="Times New Roman" panose="02020603050405020304" pitchFamily="18" charset="0"/>
                      <a:cs typeface="Times New Roman" panose="02020603050405020304" pitchFamily="18" charset="0"/>
                    </a:endParaRPr>
                  </a:p>
                </c:rich>
              </c:tx>
              <c:spPr>
                <a:noFill/>
                <a:ln>
                  <a:noFill/>
                </a:ln>
                <a:effectLst/>
              </c:spPr>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A4FA-4DD9-92AB-96557C16BDBE}"/>
                </c:ext>
              </c:extLst>
            </c:dLbl>
            <c:dLbl>
              <c:idx val="3"/>
              <c:layout>
                <c:manualLayout>
                  <c:x val="0.13673818897637802"/>
                  <c:y val="-0.17689122193059201"/>
                </c:manualLayout>
              </c:layout>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4FA-4DD9-92AB-96557C16BDBE}"/>
                </c:ext>
              </c:extLst>
            </c:dLbl>
            <c:dLbl>
              <c:idx val="4"/>
              <c:layout>
                <c:manualLayout>
                  <c:x val="0.15772871288219845"/>
                  <c:y val="8.7448999879677927E-2"/>
                </c:manualLayout>
              </c:layout>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4FA-4DD9-92AB-96557C16BDBE}"/>
                </c:ext>
              </c:extLst>
            </c:dLbl>
            <c:dLbl>
              <c:idx val="7"/>
              <c:layout>
                <c:manualLayout>
                  <c:x val="-3.1751968503937036E-2"/>
                  <c:y val="-5.4435695538057764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4FA-4DD9-92AB-96557C16BDBE}"/>
                </c:ext>
              </c:extLst>
            </c:dLbl>
            <c:dLbl>
              <c:idx val="9"/>
              <c:layout>
                <c:manualLayout>
                  <c:x val="0.18474457662701185"/>
                  <c:y val="-3.8817678711949792E-2"/>
                </c:manualLayout>
              </c:layout>
              <c:showCatName val="1"/>
              <c:showPercent val="1"/>
              <c:extLst xmlns:c16r2="http://schemas.microsoft.com/office/drawing/2015/06/chart">
                <c:ext xmlns:c15="http://schemas.microsoft.com/office/drawing/2012/chart" uri="{CE6537A1-D6FC-4f65-9D91-7224C49458BB}">
                  <c15:layout>
                    <c:manualLayout>
                      <c:w val="0.13156053184044786"/>
                      <c:h val="0.15628187004837973"/>
                    </c:manualLayout>
                  </c15:layout>
                </c:ext>
                <c:ext xmlns:c16="http://schemas.microsoft.com/office/drawing/2014/chart" uri="{C3380CC4-5D6E-409C-BE32-E72D297353CC}">
                  <c16:uniqueId val="{00000013-A4FA-4DD9-92AB-96557C16BDBE}"/>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全市结果!$B$2:$B$11</c:f>
              <c:strCache>
                <c:ptCount val="10"/>
                <c:pt idx="0">
                  <c:v>国家机关办公建筑</c:v>
                </c:pt>
                <c:pt idx="1">
                  <c:v>办公建筑</c:v>
                </c:pt>
                <c:pt idx="2">
                  <c:v>旅游饭店建筑</c:v>
                </c:pt>
                <c:pt idx="3">
                  <c:v>商场建筑</c:v>
                </c:pt>
                <c:pt idx="4">
                  <c:v>综合建筑</c:v>
                </c:pt>
                <c:pt idx="5">
                  <c:v>卫生建筑</c:v>
                </c:pt>
                <c:pt idx="6">
                  <c:v>教育建筑</c:v>
                </c:pt>
                <c:pt idx="7">
                  <c:v>文化建筑</c:v>
                </c:pt>
                <c:pt idx="8">
                  <c:v>体育建筑</c:v>
                </c:pt>
                <c:pt idx="9">
                  <c:v>其他建筑</c:v>
                </c:pt>
              </c:strCache>
            </c:strRef>
          </c:cat>
          <c:val>
            <c:numRef>
              <c:f>全市结果!$R$2:$R$11</c:f>
              <c:numCache>
                <c:formatCode>General</c:formatCode>
                <c:ptCount val="10"/>
                <c:pt idx="0">
                  <c:v>313080985.81097764</c:v>
                </c:pt>
                <c:pt idx="1">
                  <c:v>1997600673.9193611</c:v>
                </c:pt>
                <c:pt idx="2">
                  <c:v>1049838974.3037077</c:v>
                </c:pt>
                <c:pt idx="3">
                  <c:v>1867942427.8299291</c:v>
                </c:pt>
                <c:pt idx="4">
                  <c:v>1139375568.1361136</c:v>
                </c:pt>
                <c:pt idx="5">
                  <c:v>483601554.0100345</c:v>
                </c:pt>
                <c:pt idx="6">
                  <c:v>110608776.03030108</c:v>
                </c:pt>
                <c:pt idx="7">
                  <c:v>57808281.590024821</c:v>
                </c:pt>
                <c:pt idx="8">
                  <c:v>79328962.448315978</c:v>
                </c:pt>
                <c:pt idx="9">
                  <c:v>69971717.545950517</c:v>
                </c:pt>
              </c:numCache>
            </c:numRef>
          </c:val>
          <c:extLst xmlns:c16r2="http://schemas.microsoft.com/office/drawing/2015/06/chart">
            <c:ext xmlns:c16="http://schemas.microsoft.com/office/drawing/2014/chart" uri="{C3380CC4-5D6E-409C-BE32-E72D297353CC}">
              <c16:uniqueId val="{00000014-A4FA-4DD9-92AB-96557C16BDBE}"/>
            </c:ext>
          </c:extLst>
        </c:ser>
        <c:firstSliceAng val="0"/>
      </c:pieChart>
      <c:spPr>
        <a:noFill/>
        <a:ln>
          <a:noFill/>
        </a:ln>
        <a:effectLst/>
      </c:spPr>
    </c:plotArea>
    <c:plotVisOnly val="1"/>
    <c:dispBlanksAs val="zero"/>
  </c:chart>
  <c:spPr>
    <a:solidFill>
      <a:schemeClr val="bg1"/>
    </a:solidFill>
    <a:ln w="9525" cap="flat" cmpd="sng" algn="ctr">
      <a:noFill/>
      <a:round/>
    </a:ln>
    <a:effectLst/>
  </c:spPr>
  <c:txPr>
    <a:bodyPr/>
    <a:lstStyle/>
    <a:p>
      <a:pPr>
        <a:defRPr b="1">
          <a:latin typeface="宋体" panose="02010600030101010101" pitchFamily="2" charset="-122"/>
          <a:ea typeface="宋体" panose="02010600030101010101" pitchFamily="2" charset="-122"/>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3480314960629924"/>
          <c:y val="4.1666666666666664E-2"/>
          <c:w val="0.72676859142607209"/>
          <c:h val="0.78611913094196528"/>
        </c:manualLayout>
      </c:layout>
      <c:barChart>
        <c:barDir val="col"/>
        <c:grouping val="clustered"/>
        <c:ser>
          <c:idx val="0"/>
          <c:order val="0"/>
          <c:tx>
            <c:v>用电量</c:v>
          </c:tx>
          <c:spPr>
            <a:solidFill>
              <a:schemeClr val="accent1"/>
            </a:solidFill>
            <a:ln>
              <a:noFill/>
            </a:ln>
            <a:effectLst/>
          </c:spPr>
          <c:val>
            <c:numRef>
              <c:f>全市结果!$D$17:$O$17</c:f>
              <c:numCache>
                <c:formatCode>0.0_ </c:formatCode>
                <c:ptCount val="12"/>
                <c:pt idx="0">
                  <c:v>6.1366350692299054</c:v>
                </c:pt>
                <c:pt idx="1">
                  <c:v>5.1976975116236384</c:v>
                </c:pt>
                <c:pt idx="2">
                  <c:v>5.2508300118575786</c:v>
                </c:pt>
                <c:pt idx="3">
                  <c:v>4.5703154820050118</c:v>
                </c:pt>
                <c:pt idx="4">
                  <c:v>5.1748790365511415</c:v>
                </c:pt>
                <c:pt idx="5">
                  <c:v>5.9234921518621375</c:v>
                </c:pt>
                <c:pt idx="6">
                  <c:v>7.8275547147881497</c:v>
                </c:pt>
                <c:pt idx="7">
                  <c:v>7.8372764460413027</c:v>
                </c:pt>
                <c:pt idx="8">
                  <c:v>6.192087992466357</c:v>
                </c:pt>
                <c:pt idx="9">
                  <c:v>5.0756176328256952</c:v>
                </c:pt>
                <c:pt idx="10">
                  <c:v>4.6760483835060045</c:v>
                </c:pt>
                <c:pt idx="11">
                  <c:v>5.4313101410768594</c:v>
                </c:pt>
              </c:numCache>
            </c:numRef>
          </c:val>
          <c:extLst xmlns:c16r2="http://schemas.microsoft.com/office/drawing/2015/06/chart">
            <c:ext xmlns:c16="http://schemas.microsoft.com/office/drawing/2014/chart" uri="{C3380CC4-5D6E-409C-BE32-E72D297353CC}">
              <c16:uniqueId val="{00000000-B11A-4DA8-A5C2-97872A78F271}"/>
            </c:ext>
          </c:extLst>
        </c:ser>
        <c:gapWidth val="219"/>
        <c:overlap val="-27"/>
        <c:axId val="174944640"/>
        <c:axId val="174946560"/>
      </c:barChart>
      <c:lineChart>
        <c:grouping val="standard"/>
        <c:ser>
          <c:idx val="1"/>
          <c:order val="1"/>
          <c:tx>
            <c:v>平均气温</c:v>
          </c:tx>
          <c:marker>
            <c:symbol val="none"/>
          </c:marker>
          <c:val>
            <c:numRef>
              <c:f>全市结果!$D$18:$O$18</c:f>
              <c:numCache>
                <c:formatCode>0.0_ </c:formatCode>
                <c:ptCount val="12"/>
                <c:pt idx="0">
                  <c:v>4.5</c:v>
                </c:pt>
                <c:pt idx="1">
                  <c:v>8</c:v>
                </c:pt>
                <c:pt idx="2">
                  <c:v>11.5</c:v>
                </c:pt>
                <c:pt idx="3">
                  <c:v>17.5</c:v>
                </c:pt>
                <c:pt idx="4">
                  <c:v>22.5</c:v>
                </c:pt>
                <c:pt idx="5">
                  <c:v>25</c:v>
                </c:pt>
                <c:pt idx="6">
                  <c:v>30.5</c:v>
                </c:pt>
                <c:pt idx="7">
                  <c:v>30.5</c:v>
                </c:pt>
                <c:pt idx="8">
                  <c:v>26</c:v>
                </c:pt>
                <c:pt idx="9">
                  <c:v>21</c:v>
                </c:pt>
                <c:pt idx="10">
                  <c:v>14.5</c:v>
                </c:pt>
                <c:pt idx="11">
                  <c:v>10</c:v>
                </c:pt>
              </c:numCache>
            </c:numRef>
          </c:val>
          <c:extLst xmlns:c16r2="http://schemas.microsoft.com/office/drawing/2015/06/chart">
            <c:ext xmlns:c16="http://schemas.microsoft.com/office/drawing/2014/chart" uri="{C3380CC4-5D6E-409C-BE32-E72D297353CC}">
              <c16:uniqueId val="{00000001-B11A-4DA8-A5C2-97872A78F271}"/>
            </c:ext>
          </c:extLst>
        </c:ser>
        <c:marker val="1"/>
        <c:axId val="174954752"/>
        <c:axId val="174952832"/>
      </c:lineChart>
      <c:catAx>
        <c:axId val="174944640"/>
        <c:scaling>
          <c:orientation val="minMax"/>
        </c:scaling>
        <c:axPos val="b"/>
        <c:title>
          <c:tx>
            <c:rich>
              <a:bodyPr/>
              <a:lstStyle/>
              <a:p>
                <a:pPr>
                  <a:defRPr/>
                </a:pPr>
                <a:r>
                  <a:rPr lang="zh-CN"/>
                  <a:t>月份</a:t>
                </a:r>
              </a:p>
            </c:rich>
          </c:tx>
        </c:title>
        <c:numFmt formatCode="General" sourceLinked="1"/>
        <c:majorTickMark val="in"/>
        <c:tickLblPos val="nextTo"/>
        <c:spPr>
          <a:noFill/>
          <a:ln w="9525" cap="flat" cmpd="sng" algn="ctr">
            <a:solidFill>
              <a:schemeClr val="tx1"/>
            </a:solidFill>
            <a:round/>
          </a:ln>
          <a:effectLst/>
        </c:spPr>
        <c:txPr>
          <a:bodyPr rot="-60000000" vert="horz"/>
          <a:lstStyle/>
          <a:p>
            <a:pPr>
              <a:defRPr/>
            </a:pPr>
            <a:endParaRPr lang="zh-CN"/>
          </a:p>
        </c:txPr>
        <c:crossAx val="174946560"/>
        <c:crosses val="autoZero"/>
        <c:auto val="1"/>
        <c:lblAlgn val="ctr"/>
        <c:lblOffset val="100"/>
      </c:catAx>
      <c:valAx>
        <c:axId val="174946560"/>
        <c:scaling>
          <c:orientation val="minMax"/>
        </c:scaling>
        <c:axPos val="l"/>
        <c:title>
          <c:tx>
            <c:rich>
              <a:bodyPr rot="-5400000" vert="horz"/>
              <a:lstStyle/>
              <a:p>
                <a:pPr>
                  <a:defRPr/>
                </a:pPr>
                <a:r>
                  <a:rPr lang="zh-CN" altLang="en-US"/>
                  <a:t>月</a:t>
                </a:r>
                <a:r>
                  <a:rPr lang="zh-CN"/>
                  <a:t>总用电量（亿</a:t>
                </a:r>
                <a:r>
                  <a:rPr lang="en-US"/>
                  <a:t>kWh</a:t>
                </a:r>
                <a:r>
                  <a:rPr lang="zh-CN"/>
                  <a:t>）</a:t>
                </a:r>
              </a:p>
            </c:rich>
          </c:tx>
          <c:layout>
            <c:manualLayout>
              <c:xMode val="edge"/>
              <c:yMode val="edge"/>
              <c:x val="1.9996673086519947E-2"/>
              <c:y val="0.2416706765820939"/>
            </c:manualLayout>
          </c:layout>
          <c:spPr>
            <a:noFill/>
            <a:ln>
              <a:noFill/>
            </a:ln>
            <a:effectLst/>
          </c:spPr>
        </c:title>
        <c:numFmt formatCode="0.0_ " sourceLinked="1"/>
        <c:majorTickMark val="in"/>
        <c:tickLblPos val="nextTo"/>
        <c:spPr>
          <a:noFill/>
          <a:ln>
            <a:solidFill>
              <a:schemeClr val="accent4">
                <a:lumMod val="50000"/>
              </a:schemeClr>
            </a:solidFill>
          </a:ln>
          <a:effectLst/>
        </c:spPr>
        <c:txPr>
          <a:bodyPr rot="-60000000" vert="horz"/>
          <a:lstStyle/>
          <a:p>
            <a:pPr>
              <a:defRPr/>
            </a:pPr>
            <a:endParaRPr lang="zh-CN"/>
          </a:p>
        </c:txPr>
        <c:crossAx val="174944640"/>
        <c:crosses val="autoZero"/>
        <c:crossBetween val="between"/>
      </c:valAx>
      <c:valAx>
        <c:axId val="174952832"/>
        <c:scaling>
          <c:orientation val="minMax"/>
        </c:scaling>
        <c:axPos val="r"/>
        <c:title>
          <c:tx>
            <c:rich>
              <a:bodyPr/>
              <a:lstStyle/>
              <a:p>
                <a:pPr>
                  <a:defRPr/>
                </a:pPr>
                <a:r>
                  <a:rPr lang="zh-CN"/>
                  <a:t>月平均气温（℃）</a:t>
                </a:r>
              </a:p>
            </c:rich>
          </c:tx>
          <c:layout>
            <c:manualLayout>
              <c:xMode val="edge"/>
              <c:yMode val="edge"/>
              <c:x val="0.94707053729652724"/>
              <c:y val="0.26552456984543621"/>
            </c:manualLayout>
          </c:layout>
        </c:title>
        <c:numFmt formatCode="0.0_ " sourceLinked="1"/>
        <c:tickLblPos val="nextTo"/>
        <c:crossAx val="174954752"/>
        <c:crosses val="max"/>
        <c:crossBetween val="between"/>
      </c:valAx>
      <c:catAx>
        <c:axId val="174954752"/>
        <c:scaling>
          <c:orientation val="minMax"/>
        </c:scaling>
        <c:delete val="1"/>
        <c:axPos val="b"/>
        <c:tickLblPos val="nextTo"/>
        <c:crossAx val="174952832"/>
        <c:crosses val="autoZero"/>
        <c:auto val="1"/>
        <c:lblAlgn val="ctr"/>
        <c:lblOffset val="100"/>
      </c:catAx>
      <c:spPr>
        <a:noFill/>
        <a:ln>
          <a:solidFill>
            <a:schemeClr val="tx1"/>
          </a:solidFill>
        </a:ln>
        <a:effectLst/>
      </c:spPr>
    </c:plotArea>
    <c:legend>
      <c:legendPos val="t"/>
      <c:layout>
        <c:manualLayout>
          <c:xMode val="edge"/>
          <c:yMode val="edge"/>
          <c:x val="0.14635477013047082"/>
          <c:y val="6.4814814814814839E-2"/>
          <c:w val="0.34582977164488976"/>
          <c:h val="7.8537839020122513E-2"/>
        </c:manualLayout>
      </c:layout>
    </c:legend>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32025371828521"/>
          <c:y val="2.9771399542799094E-2"/>
          <c:w val="0.71287970253718347"/>
          <c:h val="0.85183007366014774"/>
        </c:manualLayout>
      </c:layout>
      <c:barChart>
        <c:barDir val="col"/>
        <c:grouping val="clustered"/>
        <c:ser>
          <c:idx val="0"/>
          <c:order val="0"/>
          <c:tx>
            <c:v>用电量</c:v>
          </c:tx>
          <c:spPr>
            <a:solidFill>
              <a:schemeClr val="accent1"/>
            </a:solidFill>
            <a:ln>
              <a:noFill/>
            </a:ln>
            <a:effectLst/>
          </c:spPr>
          <c:cat>
            <c:numRef>
              <c:f>全市结果!$C$37:$C$39</c:f>
              <c:numCache>
                <c:formatCode>General</c:formatCode>
                <c:ptCount val="3"/>
                <c:pt idx="0">
                  <c:v>2014</c:v>
                </c:pt>
                <c:pt idx="1">
                  <c:v>2015</c:v>
                </c:pt>
                <c:pt idx="2">
                  <c:v>2016</c:v>
                </c:pt>
              </c:numCache>
            </c:numRef>
          </c:cat>
          <c:val>
            <c:numRef>
              <c:f>全市结果!$D$37:$D$39</c:f>
              <c:numCache>
                <c:formatCode>General</c:formatCode>
                <c:ptCount val="3"/>
                <c:pt idx="0">
                  <c:v>44.2</c:v>
                </c:pt>
                <c:pt idx="1">
                  <c:v>57.2</c:v>
                </c:pt>
                <c:pt idx="2">
                  <c:v>69.3</c:v>
                </c:pt>
              </c:numCache>
            </c:numRef>
          </c:val>
          <c:extLst xmlns:c16r2="http://schemas.microsoft.com/office/drawing/2015/06/chart">
            <c:ext xmlns:c16="http://schemas.microsoft.com/office/drawing/2014/chart" uri="{C3380CC4-5D6E-409C-BE32-E72D297353CC}">
              <c16:uniqueId val="{00000000-06BD-43F9-A6CD-2332FAC80572}"/>
            </c:ext>
          </c:extLst>
        </c:ser>
        <c:gapWidth val="219"/>
        <c:overlap val="-27"/>
        <c:axId val="173916544"/>
        <c:axId val="173918080"/>
      </c:barChart>
      <c:lineChart>
        <c:grouping val="standard"/>
        <c:ser>
          <c:idx val="1"/>
          <c:order val="1"/>
          <c:tx>
            <c:v>面积</c:v>
          </c:tx>
          <c:marker>
            <c:symbol val="none"/>
          </c:marker>
          <c:val>
            <c:numRef>
              <c:f>全市结果!$E$37:$E$39</c:f>
              <c:numCache>
                <c:formatCode>General</c:formatCode>
                <c:ptCount val="3"/>
                <c:pt idx="0">
                  <c:v>4248</c:v>
                </c:pt>
                <c:pt idx="1">
                  <c:v>5719</c:v>
                </c:pt>
                <c:pt idx="2">
                  <c:v>6593</c:v>
                </c:pt>
              </c:numCache>
            </c:numRef>
          </c:val>
          <c:extLst xmlns:c16r2="http://schemas.microsoft.com/office/drawing/2015/06/chart">
            <c:ext xmlns:c16="http://schemas.microsoft.com/office/drawing/2014/chart" uri="{C3380CC4-5D6E-409C-BE32-E72D297353CC}">
              <c16:uniqueId val="{00000001-06BD-43F9-A6CD-2332FAC80572}"/>
            </c:ext>
          </c:extLst>
        </c:ser>
        <c:marker val="1"/>
        <c:axId val="173946752"/>
        <c:axId val="173944832"/>
      </c:lineChart>
      <c:catAx>
        <c:axId val="173916544"/>
        <c:scaling>
          <c:orientation val="minMax"/>
        </c:scaling>
        <c:axPos val="b"/>
        <c:numFmt formatCode="General" sourceLinked="1"/>
        <c:majorTickMark val="in"/>
        <c:tickLblPos val="nextTo"/>
        <c:spPr>
          <a:noFill/>
          <a:ln w="9525" cap="flat" cmpd="sng" algn="ctr">
            <a:solidFill>
              <a:schemeClr val="tx1"/>
            </a:solidFill>
            <a:round/>
          </a:ln>
          <a:effectLst/>
        </c:spPr>
        <c:txPr>
          <a:bodyPr rot="-60000000" vert="horz"/>
          <a:lstStyle/>
          <a:p>
            <a:pPr>
              <a:defRPr/>
            </a:pPr>
            <a:endParaRPr lang="zh-CN"/>
          </a:p>
        </c:txPr>
        <c:crossAx val="173918080"/>
        <c:crosses val="autoZero"/>
        <c:auto val="1"/>
        <c:lblAlgn val="ctr"/>
        <c:lblOffset val="100"/>
      </c:catAx>
      <c:valAx>
        <c:axId val="173918080"/>
        <c:scaling>
          <c:orientation val="minMax"/>
        </c:scaling>
        <c:axPos val="l"/>
        <c:title>
          <c:tx>
            <c:rich>
              <a:bodyPr rot="-5400000" vert="horz"/>
              <a:lstStyle/>
              <a:p>
                <a:pPr>
                  <a:defRPr/>
                </a:pPr>
                <a:r>
                  <a:rPr lang="zh-CN"/>
                  <a:t>年总用电量（亿</a:t>
                </a:r>
                <a:r>
                  <a:rPr lang="en-US"/>
                  <a:t>kWh</a:t>
                </a:r>
                <a:r>
                  <a:rPr lang="zh-CN"/>
                  <a:t>）</a:t>
                </a:r>
              </a:p>
            </c:rich>
          </c:tx>
          <c:layout>
            <c:manualLayout>
              <c:xMode val="edge"/>
              <c:yMode val="edge"/>
              <c:x val="1.4692038495188103E-2"/>
              <c:y val="8.1781390229447151E-2"/>
            </c:manualLayout>
          </c:layout>
          <c:spPr>
            <a:noFill/>
            <a:ln>
              <a:noFill/>
            </a:ln>
            <a:effectLst/>
          </c:spPr>
        </c:title>
        <c:numFmt formatCode="General" sourceLinked="1"/>
        <c:majorTickMark val="in"/>
        <c:tickLblPos val="nextTo"/>
        <c:spPr>
          <a:noFill/>
          <a:ln>
            <a:solidFill>
              <a:schemeClr val="accent4">
                <a:lumMod val="50000"/>
              </a:schemeClr>
            </a:solidFill>
          </a:ln>
          <a:effectLst/>
        </c:spPr>
        <c:txPr>
          <a:bodyPr rot="-60000000" vert="horz"/>
          <a:lstStyle/>
          <a:p>
            <a:pPr>
              <a:defRPr/>
            </a:pPr>
            <a:endParaRPr lang="zh-CN"/>
          </a:p>
        </c:txPr>
        <c:crossAx val="173916544"/>
        <c:crosses val="autoZero"/>
        <c:crossBetween val="between"/>
      </c:valAx>
      <c:valAx>
        <c:axId val="173944832"/>
        <c:scaling>
          <c:orientation val="minMax"/>
        </c:scaling>
        <c:axPos val="r"/>
        <c:title>
          <c:tx>
            <c:rich>
              <a:bodyPr/>
              <a:lstStyle/>
              <a:p>
                <a:pPr>
                  <a:defRPr/>
                </a:pPr>
                <a:r>
                  <a:rPr lang="zh-CN"/>
                  <a:t>建筑面积（万</a:t>
                </a:r>
                <a:r>
                  <a:rPr lang="en-US"/>
                  <a:t>m</a:t>
                </a:r>
                <a:r>
                  <a:rPr lang="en-US" baseline="30000"/>
                  <a:t>2</a:t>
                </a:r>
                <a:r>
                  <a:rPr lang="zh-CN"/>
                  <a:t>）</a:t>
                </a:r>
              </a:p>
            </c:rich>
          </c:tx>
          <c:layout>
            <c:manualLayout>
              <c:xMode val="edge"/>
              <c:yMode val="edge"/>
              <c:x val="0.94268285214348246"/>
              <c:y val="0.15903945474557624"/>
            </c:manualLayout>
          </c:layout>
        </c:title>
        <c:numFmt formatCode="General" sourceLinked="1"/>
        <c:majorTickMark val="in"/>
        <c:tickLblPos val="nextTo"/>
        <c:spPr>
          <a:ln>
            <a:solidFill>
              <a:schemeClr val="tx1"/>
            </a:solidFill>
          </a:ln>
        </c:spPr>
        <c:crossAx val="173946752"/>
        <c:crosses val="max"/>
        <c:crossBetween val="between"/>
      </c:valAx>
      <c:catAx>
        <c:axId val="173946752"/>
        <c:scaling>
          <c:orientation val="minMax"/>
        </c:scaling>
        <c:delete val="1"/>
        <c:axPos val="b"/>
        <c:tickLblPos val="nextTo"/>
        <c:crossAx val="173944832"/>
        <c:crosses val="autoZero"/>
        <c:auto val="1"/>
        <c:lblAlgn val="ctr"/>
        <c:lblOffset val="100"/>
      </c:catAx>
      <c:spPr>
        <a:noFill/>
        <a:ln>
          <a:solidFill>
            <a:schemeClr val="tx1"/>
          </a:solidFill>
        </a:ln>
        <a:effectLst/>
      </c:spPr>
    </c:plotArea>
    <c:legend>
      <c:legendPos val="t"/>
      <c:layout>
        <c:manualLayout>
          <c:xMode val="edge"/>
          <c:yMode val="edge"/>
          <c:x val="0.12277777777777779"/>
          <c:y val="6.7652188637710622E-2"/>
          <c:w val="0.32666666666666688"/>
          <c:h val="7.8537839020122513E-2"/>
        </c:manualLayout>
      </c:layout>
    </c:legend>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3480314960629899"/>
          <c:y val="6.2179336861750298E-2"/>
          <c:w val="0.81565748031496099"/>
          <c:h val="0.83018443762705918"/>
        </c:manualLayout>
      </c:layout>
      <c:barChart>
        <c:barDir val="col"/>
        <c:grouping val="clustered"/>
        <c:ser>
          <c:idx val="0"/>
          <c:order val="0"/>
          <c:tx>
            <c:v>2015年</c:v>
          </c:tx>
          <c:spPr>
            <a:solidFill>
              <a:schemeClr val="accent1"/>
            </a:solidFill>
            <a:ln>
              <a:noFill/>
            </a:ln>
            <a:effectLst/>
          </c:spPr>
          <c:cat>
            <c:strRef>
              <c:f>分季!$D$16:$F$16</c:f>
              <c:strCache>
                <c:ptCount val="3"/>
                <c:pt idx="0">
                  <c:v>供热季</c:v>
                </c:pt>
                <c:pt idx="1">
                  <c:v>制冷季</c:v>
                </c:pt>
                <c:pt idx="2">
                  <c:v>过度季</c:v>
                </c:pt>
              </c:strCache>
            </c:strRef>
          </c:cat>
          <c:val>
            <c:numRef>
              <c:f>分季!$D$17:$F$17</c:f>
              <c:numCache>
                <c:formatCode>0.0_ </c:formatCode>
                <c:ptCount val="3"/>
                <c:pt idx="0">
                  <c:v>31.96083566622189</c:v>
                </c:pt>
                <c:pt idx="1">
                  <c:v>38.389397082275877</c:v>
                </c:pt>
                <c:pt idx="2">
                  <c:v>29.573941032215032</c:v>
                </c:pt>
              </c:numCache>
            </c:numRef>
          </c:val>
          <c:extLst xmlns:c16r2="http://schemas.microsoft.com/office/drawing/2015/06/chart">
            <c:ext xmlns:c16="http://schemas.microsoft.com/office/drawing/2014/chart" uri="{C3380CC4-5D6E-409C-BE32-E72D297353CC}">
              <c16:uniqueId val="{00000000-01F5-4A50-954A-2327DD883C42}"/>
            </c:ext>
          </c:extLst>
        </c:ser>
        <c:ser>
          <c:idx val="1"/>
          <c:order val="1"/>
          <c:tx>
            <c:v>2016年</c:v>
          </c:tx>
          <c:cat>
            <c:strRef>
              <c:f>分季!$D$16:$F$16</c:f>
              <c:strCache>
                <c:ptCount val="3"/>
                <c:pt idx="0">
                  <c:v>供热季</c:v>
                </c:pt>
                <c:pt idx="1">
                  <c:v>制冷季</c:v>
                </c:pt>
                <c:pt idx="2">
                  <c:v>过度季</c:v>
                </c:pt>
              </c:strCache>
            </c:strRef>
          </c:cat>
          <c:val>
            <c:numRef>
              <c:f>分季!$D$18:$F$18</c:f>
              <c:numCache>
                <c:formatCode>0.0_ </c:formatCode>
                <c:ptCount val="3"/>
                <c:pt idx="0">
                  <c:v>33.854190772031004</c:v>
                </c:pt>
                <c:pt idx="1">
                  <c:v>42.717257910572314</c:v>
                </c:pt>
                <c:pt idx="2">
                  <c:v>29.979844818230923</c:v>
                </c:pt>
              </c:numCache>
            </c:numRef>
          </c:val>
          <c:extLst xmlns:c16r2="http://schemas.microsoft.com/office/drawing/2015/06/chart">
            <c:ext xmlns:c16="http://schemas.microsoft.com/office/drawing/2014/chart" uri="{C3380CC4-5D6E-409C-BE32-E72D297353CC}">
              <c16:uniqueId val="{00000001-01F5-4A50-954A-2327DD883C42}"/>
            </c:ext>
          </c:extLst>
        </c:ser>
        <c:gapWidth val="219"/>
        <c:overlap val="-27"/>
        <c:axId val="175983232"/>
        <c:axId val="173994368"/>
      </c:barChart>
      <c:catAx>
        <c:axId val="175983232"/>
        <c:scaling>
          <c:orientation val="minMax"/>
        </c:scaling>
        <c:axPos val="b"/>
        <c:numFmt formatCode="General" sourceLinked="1"/>
        <c:majorTickMark val="in"/>
        <c:tickLblPos val="nextTo"/>
        <c:spPr>
          <a:noFill/>
          <a:ln w="9525" cap="flat" cmpd="sng" algn="ctr">
            <a:solidFill>
              <a:schemeClr val="tx1"/>
            </a:solidFill>
            <a:round/>
          </a:ln>
          <a:effectLst/>
        </c:spPr>
        <c:txPr>
          <a:bodyPr rot="-60000000" vert="horz"/>
          <a:lstStyle/>
          <a:p>
            <a:pPr>
              <a:defRPr/>
            </a:pPr>
            <a:endParaRPr lang="zh-CN"/>
          </a:p>
        </c:txPr>
        <c:crossAx val="173994368"/>
        <c:crosses val="autoZero"/>
        <c:auto val="1"/>
        <c:lblAlgn val="ctr"/>
        <c:lblOffset val="100"/>
      </c:catAx>
      <c:valAx>
        <c:axId val="173994368"/>
        <c:scaling>
          <c:orientation val="minMax"/>
        </c:scaling>
        <c:axPos val="l"/>
        <c:title>
          <c:tx>
            <c:rich>
              <a:bodyPr rot="-5400000" vert="horz"/>
              <a:lstStyle/>
              <a:p>
                <a:pPr>
                  <a:defRPr/>
                </a:pPr>
                <a:r>
                  <a:rPr lang="zh-CN"/>
                  <a:t>单位面积平均用电量（</a:t>
                </a:r>
                <a:r>
                  <a:rPr lang="en-US"/>
                  <a:t>kWh/m</a:t>
                </a:r>
                <a:r>
                  <a:rPr lang="en-US" baseline="30000"/>
                  <a:t>2</a:t>
                </a:r>
                <a:r>
                  <a:rPr lang="zh-CN"/>
                  <a:t>）</a:t>
                </a:r>
              </a:p>
            </c:rich>
          </c:tx>
          <c:spPr>
            <a:noFill/>
            <a:ln>
              <a:noFill/>
            </a:ln>
            <a:effectLst/>
          </c:spPr>
        </c:title>
        <c:numFmt formatCode="0.0_ " sourceLinked="1"/>
        <c:majorTickMark val="in"/>
        <c:tickLblPos val="nextTo"/>
        <c:spPr>
          <a:noFill/>
          <a:ln>
            <a:solidFill>
              <a:schemeClr val="accent4">
                <a:lumMod val="50000"/>
              </a:schemeClr>
            </a:solidFill>
          </a:ln>
          <a:effectLst/>
        </c:spPr>
        <c:txPr>
          <a:bodyPr rot="-60000000" vert="horz"/>
          <a:lstStyle/>
          <a:p>
            <a:pPr>
              <a:defRPr/>
            </a:pPr>
            <a:endParaRPr lang="zh-CN"/>
          </a:p>
        </c:txPr>
        <c:crossAx val="175983232"/>
        <c:crosses val="autoZero"/>
        <c:crossBetween val="between"/>
      </c:valAx>
      <c:spPr>
        <a:noFill/>
        <a:ln>
          <a:solidFill>
            <a:schemeClr val="tx1"/>
          </a:solidFill>
        </a:ln>
        <a:effectLst/>
      </c:spPr>
    </c:plotArea>
    <c:legend>
      <c:legendPos val="t"/>
      <c:layout>
        <c:manualLayout>
          <c:xMode val="edge"/>
          <c:yMode val="edge"/>
          <c:x val="0.6628750134107948"/>
          <c:y val="8.4741696237022796E-2"/>
          <c:w val="0.27424978127734012"/>
          <c:h val="7.8996427529892124E-2"/>
        </c:manualLayout>
      </c:layout>
      <c:spPr>
        <a:ln>
          <a:solidFill>
            <a:schemeClr val="tx1"/>
          </a:solidFill>
        </a:ln>
      </c:spPr>
    </c:legend>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2695287026057495"/>
          <c:y val="5.5278170873802095E-2"/>
          <c:w val="0.82350789822605397"/>
          <c:h val="0.84933052723248303"/>
        </c:manualLayout>
      </c:layout>
      <c:barChart>
        <c:barDir val="col"/>
        <c:grouping val="clustered"/>
        <c:ser>
          <c:idx val="0"/>
          <c:order val="0"/>
          <c:tx>
            <c:v>制冷季</c:v>
          </c:tx>
          <c:spPr>
            <a:solidFill>
              <a:schemeClr val="accent1"/>
            </a:solidFill>
            <a:ln>
              <a:noFill/>
            </a:ln>
            <a:effectLst/>
          </c:spPr>
          <c:cat>
            <c:strRef>
              <c:f>分季!$C$28:$C$31</c:f>
              <c:strCache>
                <c:ptCount val="4"/>
                <c:pt idx="0">
                  <c:v>照明与插座</c:v>
                </c:pt>
                <c:pt idx="1">
                  <c:v>空调</c:v>
                </c:pt>
                <c:pt idx="2">
                  <c:v>动力</c:v>
                </c:pt>
                <c:pt idx="3">
                  <c:v>特殊</c:v>
                </c:pt>
              </c:strCache>
            </c:strRef>
          </c:cat>
          <c:val>
            <c:numRef>
              <c:f>分季!$H$28:$H$31</c:f>
              <c:numCache>
                <c:formatCode>0.0_ </c:formatCode>
                <c:ptCount val="4"/>
                <c:pt idx="0">
                  <c:v>10.715541079591553</c:v>
                </c:pt>
                <c:pt idx="1">
                  <c:v>10.744970000437828</c:v>
                </c:pt>
                <c:pt idx="2">
                  <c:v>2.2389929424859218</c:v>
                </c:pt>
                <c:pt idx="3">
                  <c:v>3.0355618769739885</c:v>
                </c:pt>
              </c:numCache>
            </c:numRef>
          </c:val>
          <c:extLst xmlns:c16r2="http://schemas.microsoft.com/office/drawing/2015/06/chart">
            <c:ext xmlns:c16="http://schemas.microsoft.com/office/drawing/2014/chart" uri="{C3380CC4-5D6E-409C-BE32-E72D297353CC}">
              <c16:uniqueId val="{00000000-6D7A-4C7A-9B65-156119176A77}"/>
            </c:ext>
          </c:extLst>
        </c:ser>
        <c:ser>
          <c:idx val="1"/>
          <c:order val="1"/>
          <c:tx>
            <c:v>供热季</c:v>
          </c:tx>
          <c:cat>
            <c:strRef>
              <c:f>分季!$C$28:$C$31</c:f>
              <c:strCache>
                <c:ptCount val="4"/>
                <c:pt idx="0">
                  <c:v>照明与插座</c:v>
                </c:pt>
                <c:pt idx="1">
                  <c:v>空调</c:v>
                </c:pt>
                <c:pt idx="2">
                  <c:v>动力</c:v>
                </c:pt>
                <c:pt idx="3">
                  <c:v>特殊</c:v>
                </c:pt>
              </c:strCache>
            </c:strRef>
          </c:cat>
          <c:val>
            <c:numRef>
              <c:f>分季!$I$28:$I$31</c:f>
              <c:numCache>
                <c:formatCode>0.0_ </c:formatCode>
                <c:ptCount val="4"/>
                <c:pt idx="0">
                  <c:v>10.624578915837557</c:v>
                </c:pt>
                <c:pt idx="1">
                  <c:v>6.2400550314286098</c:v>
                </c:pt>
                <c:pt idx="2">
                  <c:v>2.2062728483353036</c:v>
                </c:pt>
                <c:pt idx="3">
                  <c:v>2.9040160511504487</c:v>
                </c:pt>
              </c:numCache>
            </c:numRef>
          </c:val>
          <c:extLst xmlns:c16r2="http://schemas.microsoft.com/office/drawing/2015/06/chart">
            <c:ext xmlns:c16="http://schemas.microsoft.com/office/drawing/2014/chart" uri="{C3380CC4-5D6E-409C-BE32-E72D297353CC}">
              <c16:uniqueId val="{00000001-6D7A-4C7A-9B65-156119176A77}"/>
            </c:ext>
          </c:extLst>
        </c:ser>
        <c:ser>
          <c:idx val="2"/>
          <c:order val="2"/>
          <c:tx>
            <c:v>过渡季</c:v>
          </c:tx>
          <c:cat>
            <c:strRef>
              <c:f>分季!$C$28:$C$31</c:f>
              <c:strCache>
                <c:ptCount val="4"/>
                <c:pt idx="0">
                  <c:v>照明与插座</c:v>
                </c:pt>
                <c:pt idx="1">
                  <c:v>空调</c:v>
                </c:pt>
                <c:pt idx="2">
                  <c:v>动力</c:v>
                </c:pt>
                <c:pt idx="3">
                  <c:v>特殊</c:v>
                </c:pt>
              </c:strCache>
            </c:strRef>
          </c:cat>
          <c:val>
            <c:numRef>
              <c:f>分季!$J$28:$J$31</c:f>
              <c:numCache>
                <c:formatCode>0.0_ </c:formatCode>
                <c:ptCount val="4"/>
                <c:pt idx="0">
                  <c:v>10.432939679545223</c:v>
                </c:pt>
                <c:pt idx="1">
                  <c:v>5.1351899633677149</c:v>
                </c:pt>
                <c:pt idx="2">
                  <c:v>2.1788490201379669</c:v>
                </c:pt>
                <c:pt idx="3">
                  <c:v>2.8430325907078897</c:v>
                </c:pt>
              </c:numCache>
            </c:numRef>
          </c:val>
          <c:extLst xmlns:c16r2="http://schemas.microsoft.com/office/drawing/2015/06/chart">
            <c:ext xmlns:c16="http://schemas.microsoft.com/office/drawing/2014/chart" uri="{C3380CC4-5D6E-409C-BE32-E72D297353CC}">
              <c16:uniqueId val="{00000002-6D7A-4C7A-9B65-156119176A77}"/>
            </c:ext>
          </c:extLst>
        </c:ser>
        <c:gapWidth val="219"/>
        <c:overlap val="-27"/>
        <c:axId val="175671936"/>
        <c:axId val="175694208"/>
      </c:barChart>
      <c:catAx>
        <c:axId val="175671936"/>
        <c:scaling>
          <c:orientation val="minMax"/>
        </c:scaling>
        <c:axPos val="b"/>
        <c:numFmt formatCode="General" sourceLinked="1"/>
        <c:majorTickMark val="in"/>
        <c:tickLblPos val="nextTo"/>
        <c:spPr>
          <a:noFill/>
          <a:ln w="9525" cap="flat" cmpd="sng" algn="ctr">
            <a:solidFill>
              <a:schemeClr val="tx1"/>
            </a:solidFill>
            <a:round/>
          </a:ln>
          <a:effectLst/>
        </c:spPr>
        <c:txPr>
          <a:bodyPr rot="-60000000" vert="horz"/>
          <a:lstStyle/>
          <a:p>
            <a:pPr>
              <a:defRPr/>
            </a:pPr>
            <a:endParaRPr lang="zh-CN"/>
          </a:p>
        </c:txPr>
        <c:crossAx val="175694208"/>
        <c:crosses val="autoZero"/>
        <c:auto val="1"/>
        <c:lblAlgn val="ctr"/>
        <c:lblOffset val="100"/>
      </c:catAx>
      <c:valAx>
        <c:axId val="175694208"/>
        <c:scaling>
          <c:orientation val="minMax"/>
        </c:scaling>
        <c:axPos val="l"/>
        <c:title>
          <c:tx>
            <c:rich>
              <a:bodyPr rot="-5400000" vert="horz"/>
              <a:lstStyle/>
              <a:p>
                <a:pPr>
                  <a:defRPr/>
                </a:pPr>
                <a:r>
                  <a:rPr lang="zh-CN"/>
                  <a:t>分项用电量（亿</a:t>
                </a:r>
                <a:r>
                  <a:rPr lang="en-US"/>
                  <a:t>kWh</a:t>
                </a:r>
                <a:r>
                  <a:rPr lang="zh-CN"/>
                  <a:t>）</a:t>
                </a:r>
              </a:p>
            </c:rich>
          </c:tx>
          <c:spPr>
            <a:noFill/>
            <a:ln>
              <a:noFill/>
            </a:ln>
            <a:effectLst/>
          </c:spPr>
        </c:title>
        <c:numFmt formatCode="0.0_ " sourceLinked="1"/>
        <c:majorTickMark val="in"/>
        <c:tickLblPos val="nextTo"/>
        <c:spPr>
          <a:noFill/>
          <a:ln>
            <a:solidFill>
              <a:schemeClr val="accent4">
                <a:lumMod val="50000"/>
              </a:schemeClr>
            </a:solidFill>
          </a:ln>
          <a:effectLst/>
        </c:spPr>
        <c:txPr>
          <a:bodyPr rot="-60000000" vert="horz"/>
          <a:lstStyle/>
          <a:p>
            <a:pPr>
              <a:defRPr/>
            </a:pPr>
            <a:endParaRPr lang="zh-CN"/>
          </a:p>
        </c:txPr>
        <c:crossAx val="175671936"/>
        <c:crosses val="autoZero"/>
        <c:crossBetween val="between"/>
      </c:valAx>
      <c:spPr>
        <a:noFill/>
        <a:ln>
          <a:solidFill>
            <a:schemeClr val="tx1"/>
          </a:solidFill>
        </a:ln>
        <a:effectLst/>
      </c:spPr>
    </c:plotArea>
    <c:legend>
      <c:legendPos val="t"/>
      <c:layout>
        <c:manualLayout>
          <c:xMode val="edge"/>
          <c:yMode val="edge"/>
          <c:x val="0.51263864570931172"/>
          <c:y val="8.2565485765892274E-2"/>
          <c:w val="0.42702755905511802"/>
          <c:h val="7.8996427529892124E-2"/>
        </c:manualLayout>
      </c:layout>
      <c:spPr>
        <a:ln>
          <a:solidFill>
            <a:schemeClr val="tx1"/>
          </a:solidFill>
        </a:ln>
      </c:spPr>
    </c:legend>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0514063940005303"/>
          <c:y val="0.10648148148148204"/>
          <c:w val="0.86445695956525981"/>
          <c:h val="0.71204505686789243"/>
        </c:manualLayout>
      </c:layout>
      <c:lineChart>
        <c:grouping val="standard"/>
        <c:ser>
          <c:idx val="0"/>
          <c:order val="0"/>
          <c:spPr>
            <a:ln>
              <a:solidFill>
                <a:schemeClr val="bg1"/>
              </a:solidFill>
            </a:ln>
            <a:effectLst/>
          </c:spPr>
          <c:marker>
            <c:symbol val="none"/>
          </c:marker>
          <c:val>
            <c:numRef>
              <c:f>'2015'!$D$2:$D$366</c:f>
              <c:numCache>
                <c:formatCode>General</c:formatCode>
                <c:ptCount val="365"/>
                <c:pt idx="0">
                  <c:v>88.931700000000006</c:v>
                </c:pt>
                <c:pt idx="1">
                  <c:v>88.238699999999994</c:v>
                </c:pt>
                <c:pt idx="2">
                  <c:v>114.3648</c:v>
                </c:pt>
                <c:pt idx="4">
                  <c:v>109.61279999999998</c:v>
                </c:pt>
                <c:pt idx="5">
                  <c:v>108.0585</c:v>
                </c:pt>
                <c:pt idx="6">
                  <c:v>111.8304</c:v>
                </c:pt>
                <c:pt idx="7">
                  <c:v>107.7021</c:v>
                </c:pt>
                <c:pt idx="8">
                  <c:v>109.23660000000002</c:v>
                </c:pt>
                <c:pt idx="9">
                  <c:v>111.01860000000002</c:v>
                </c:pt>
                <c:pt idx="10">
                  <c:v>108.14760000000003</c:v>
                </c:pt>
                <c:pt idx="11">
                  <c:v>110.8899</c:v>
                </c:pt>
                <c:pt idx="12">
                  <c:v>112.54320000000003</c:v>
                </c:pt>
                <c:pt idx="13">
                  <c:v>107.4744</c:v>
                </c:pt>
                <c:pt idx="14">
                  <c:v>104.7222</c:v>
                </c:pt>
                <c:pt idx="15">
                  <c:v>105.77160000000002</c:v>
                </c:pt>
                <c:pt idx="16">
                  <c:v>101.7225</c:v>
                </c:pt>
                <c:pt idx="17">
                  <c:v>98.02979999999998</c:v>
                </c:pt>
                <c:pt idx="18">
                  <c:v>114.1866</c:v>
                </c:pt>
                <c:pt idx="19">
                  <c:v>111.50369999999999</c:v>
                </c:pt>
                <c:pt idx="20">
                  <c:v>109.8009</c:v>
                </c:pt>
                <c:pt idx="22">
                  <c:v>110.09790000000002</c:v>
                </c:pt>
                <c:pt idx="23">
                  <c:v>109.8603</c:v>
                </c:pt>
                <c:pt idx="24">
                  <c:v>107.90009999999999</c:v>
                </c:pt>
                <c:pt idx="30">
                  <c:v>106.0488</c:v>
                </c:pt>
                <c:pt idx="31">
                  <c:v>101.17799999999998</c:v>
                </c:pt>
                <c:pt idx="37">
                  <c:v>95.4756</c:v>
                </c:pt>
                <c:pt idx="38">
                  <c:v>88.644599999999997</c:v>
                </c:pt>
                <c:pt idx="40">
                  <c:v>110.7513</c:v>
                </c:pt>
                <c:pt idx="41">
                  <c:v>97.802099999999982</c:v>
                </c:pt>
                <c:pt idx="42">
                  <c:v>95.841899999999995</c:v>
                </c:pt>
                <c:pt idx="43">
                  <c:v>95.634</c:v>
                </c:pt>
                <c:pt idx="44">
                  <c:v>100.37609999999998</c:v>
                </c:pt>
                <c:pt idx="46">
                  <c:v>79.170299999999983</c:v>
                </c:pt>
                <c:pt idx="47">
                  <c:v>73.675799999999839</c:v>
                </c:pt>
                <c:pt idx="48">
                  <c:v>112.43430000000002</c:v>
                </c:pt>
                <c:pt idx="49">
                  <c:v>114.73110000000003</c:v>
                </c:pt>
                <c:pt idx="50">
                  <c:v>113.553</c:v>
                </c:pt>
                <c:pt idx="51">
                  <c:v>110.1375</c:v>
                </c:pt>
                <c:pt idx="52">
                  <c:v>114.61229999999999</c:v>
                </c:pt>
                <c:pt idx="55">
                  <c:v>103.42529999999999</c:v>
                </c:pt>
                <c:pt idx="56">
                  <c:v>105.6429</c:v>
                </c:pt>
                <c:pt idx="57">
                  <c:v>110.07810000000001</c:v>
                </c:pt>
                <c:pt idx="59">
                  <c:v>107.6031</c:v>
                </c:pt>
                <c:pt idx="60">
                  <c:v>115.929</c:v>
                </c:pt>
                <c:pt idx="61">
                  <c:v>111.86999999999999</c:v>
                </c:pt>
                <c:pt idx="62">
                  <c:v>116.76060000000003</c:v>
                </c:pt>
                <c:pt idx="64">
                  <c:v>116.59229999999999</c:v>
                </c:pt>
                <c:pt idx="65">
                  <c:v>117.8892</c:v>
                </c:pt>
                <c:pt idx="66">
                  <c:v>115.1073</c:v>
                </c:pt>
                <c:pt idx="67">
                  <c:v>116.62199999999999</c:v>
                </c:pt>
                <c:pt idx="68">
                  <c:v>115.87949999999998</c:v>
                </c:pt>
                <c:pt idx="69">
                  <c:v>116.3052</c:v>
                </c:pt>
                <c:pt idx="70">
                  <c:v>114.2064</c:v>
                </c:pt>
                <c:pt idx="71">
                  <c:v>105.85080000000001</c:v>
                </c:pt>
                <c:pt idx="73">
                  <c:v>116.43389999999999</c:v>
                </c:pt>
                <c:pt idx="75">
                  <c:v>115.17659999999998</c:v>
                </c:pt>
                <c:pt idx="76">
                  <c:v>115.6716</c:v>
                </c:pt>
                <c:pt idx="77">
                  <c:v>117.43380000000002</c:v>
                </c:pt>
                <c:pt idx="79">
                  <c:v>114.7509</c:v>
                </c:pt>
                <c:pt idx="80">
                  <c:v>108.17729999999999</c:v>
                </c:pt>
                <c:pt idx="81">
                  <c:v>118.13669999999999</c:v>
                </c:pt>
                <c:pt idx="85">
                  <c:v>117.83969999999999</c:v>
                </c:pt>
                <c:pt idx="89">
                  <c:v>83.001599999999996</c:v>
                </c:pt>
                <c:pt idx="90">
                  <c:v>107.613</c:v>
                </c:pt>
                <c:pt idx="91">
                  <c:v>113.61239999999998</c:v>
                </c:pt>
                <c:pt idx="92">
                  <c:v>105.13800000000001</c:v>
                </c:pt>
                <c:pt idx="95">
                  <c:v>105.93</c:v>
                </c:pt>
                <c:pt idx="101">
                  <c:v>109.53360000000002</c:v>
                </c:pt>
                <c:pt idx="102">
                  <c:v>115.04790000000003</c:v>
                </c:pt>
                <c:pt idx="104">
                  <c:v>115.42410000000002</c:v>
                </c:pt>
                <c:pt idx="105">
                  <c:v>114.30540000000001</c:v>
                </c:pt>
                <c:pt idx="106">
                  <c:v>115.4637</c:v>
                </c:pt>
                <c:pt idx="107">
                  <c:v>112.86</c:v>
                </c:pt>
                <c:pt idx="108">
                  <c:v>107.09820000000002</c:v>
                </c:pt>
                <c:pt idx="109">
                  <c:v>109.69199999999999</c:v>
                </c:pt>
                <c:pt idx="110">
                  <c:v>109.8603</c:v>
                </c:pt>
                <c:pt idx="111">
                  <c:v>108.8604</c:v>
                </c:pt>
                <c:pt idx="112">
                  <c:v>94.644000000000005</c:v>
                </c:pt>
                <c:pt idx="113">
                  <c:v>113.57279999999997</c:v>
                </c:pt>
                <c:pt idx="114">
                  <c:v>99.287099999999995</c:v>
                </c:pt>
                <c:pt idx="115">
                  <c:v>99.742500000000007</c:v>
                </c:pt>
                <c:pt idx="116">
                  <c:v>115.8498</c:v>
                </c:pt>
                <c:pt idx="120">
                  <c:v>115.74090000000002</c:v>
                </c:pt>
                <c:pt idx="121">
                  <c:v>109.02869999999999</c:v>
                </c:pt>
                <c:pt idx="122">
                  <c:v>109.70189999999999</c:v>
                </c:pt>
                <c:pt idx="125">
                  <c:v>112.40460000000003</c:v>
                </c:pt>
                <c:pt idx="126">
                  <c:v>117.98820000000002</c:v>
                </c:pt>
                <c:pt idx="127">
                  <c:v>117.3447</c:v>
                </c:pt>
                <c:pt idx="128">
                  <c:v>106.37549999999997</c:v>
                </c:pt>
                <c:pt idx="129">
                  <c:v>103.7718</c:v>
                </c:pt>
                <c:pt idx="130">
                  <c:v>96.010200000000026</c:v>
                </c:pt>
                <c:pt idx="131">
                  <c:v>109.48410000000003</c:v>
                </c:pt>
                <c:pt idx="132">
                  <c:v>104.43510000000002</c:v>
                </c:pt>
                <c:pt idx="133">
                  <c:v>109.13760000000002</c:v>
                </c:pt>
                <c:pt idx="134">
                  <c:v>115.85969999999999</c:v>
                </c:pt>
                <c:pt idx="135">
                  <c:v>104.0985</c:v>
                </c:pt>
                <c:pt idx="136">
                  <c:v>102.94020000000003</c:v>
                </c:pt>
                <c:pt idx="137">
                  <c:v>108.51390000000002</c:v>
                </c:pt>
                <c:pt idx="138">
                  <c:v>113.20650000000002</c:v>
                </c:pt>
                <c:pt idx="139">
                  <c:v>101.8413</c:v>
                </c:pt>
                <c:pt idx="140">
                  <c:v>100.54440000000002</c:v>
                </c:pt>
                <c:pt idx="141">
                  <c:v>105.67259999999997</c:v>
                </c:pt>
                <c:pt idx="142">
                  <c:v>95.990399999999994</c:v>
                </c:pt>
                <c:pt idx="143">
                  <c:v>90.218700000000013</c:v>
                </c:pt>
                <c:pt idx="144">
                  <c:v>91.238399999999999</c:v>
                </c:pt>
                <c:pt idx="145">
                  <c:v>90.525599999999983</c:v>
                </c:pt>
                <c:pt idx="146">
                  <c:v>87.308099999999982</c:v>
                </c:pt>
                <c:pt idx="147">
                  <c:v>70.022699999999986</c:v>
                </c:pt>
                <c:pt idx="148">
                  <c:v>80.823599999999999</c:v>
                </c:pt>
                <c:pt idx="149">
                  <c:v>88.911900000000031</c:v>
                </c:pt>
                <c:pt idx="150">
                  <c:v>85.684500000000014</c:v>
                </c:pt>
                <c:pt idx="151">
                  <c:v>103.10850000000001</c:v>
                </c:pt>
                <c:pt idx="152">
                  <c:v>108.66240000000001</c:v>
                </c:pt>
                <c:pt idx="153">
                  <c:v>97.415999999999997</c:v>
                </c:pt>
                <c:pt idx="154">
                  <c:v>104.148</c:v>
                </c:pt>
                <c:pt idx="155">
                  <c:v>106.3458</c:v>
                </c:pt>
                <c:pt idx="156">
                  <c:v>96.26760000000013</c:v>
                </c:pt>
                <c:pt idx="157">
                  <c:v>83.714400000000026</c:v>
                </c:pt>
                <c:pt idx="158">
                  <c:v>89.387100000000004</c:v>
                </c:pt>
                <c:pt idx="159">
                  <c:v>91.654200000000003</c:v>
                </c:pt>
                <c:pt idx="160">
                  <c:v>88.317900000000023</c:v>
                </c:pt>
                <c:pt idx="161">
                  <c:v>100.86120000000003</c:v>
                </c:pt>
                <c:pt idx="162">
                  <c:v>106.50420000000003</c:v>
                </c:pt>
                <c:pt idx="163">
                  <c:v>103.03919999999999</c:v>
                </c:pt>
                <c:pt idx="164">
                  <c:v>99.267300000000006</c:v>
                </c:pt>
                <c:pt idx="165">
                  <c:v>113.74110000000003</c:v>
                </c:pt>
                <c:pt idx="166">
                  <c:v>93.376799999999918</c:v>
                </c:pt>
                <c:pt idx="167">
                  <c:v>57.321000000000005</c:v>
                </c:pt>
                <c:pt idx="168">
                  <c:v>90.188999999999979</c:v>
                </c:pt>
                <c:pt idx="169">
                  <c:v>96.188399999999888</c:v>
                </c:pt>
                <c:pt idx="171">
                  <c:v>83.189699999999974</c:v>
                </c:pt>
                <c:pt idx="172">
                  <c:v>70.6464</c:v>
                </c:pt>
                <c:pt idx="173">
                  <c:v>103.76190000000003</c:v>
                </c:pt>
                <c:pt idx="174">
                  <c:v>109.0782</c:v>
                </c:pt>
                <c:pt idx="176">
                  <c:v>105.5241</c:v>
                </c:pt>
                <c:pt idx="177">
                  <c:v>84.912300000000002</c:v>
                </c:pt>
                <c:pt idx="178">
                  <c:v>86.466600000000028</c:v>
                </c:pt>
                <c:pt idx="179">
                  <c:v>100.7127</c:v>
                </c:pt>
                <c:pt idx="180">
                  <c:v>115.96860000000002</c:v>
                </c:pt>
                <c:pt idx="181">
                  <c:v>92.614500000000007</c:v>
                </c:pt>
                <c:pt idx="182">
                  <c:v>96.435900000000004</c:v>
                </c:pt>
                <c:pt idx="183">
                  <c:v>98.782200000000003</c:v>
                </c:pt>
                <c:pt idx="184">
                  <c:v>89.02079999999998</c:v>
                </c:pt>
                <c:pt idx="185">
                  <c:v>79.556399999999982</c:v>
                </c:pt>
                <c:pt idx="186">
                  <c:v>75.913200000000046</c:v>
                </c:pt>
                <c:pt idx="187">
                  <c:v>75.655799999999886</c:v>
                </c:pt>
                <c:pt idx="188">
                  <c:v>77.893199999999993</c:v>
                </c:pt>
                <c:pt idx="189">
                  <c:v>74.764799999999994</c:v>
                </c:pt>
                <c:pt idx="190">
                  <c:v>87.050699999999992</c:v>
                </c:pt>
                <c:pt idx="191">
                  <c:v>79.744500000000031</c:v>
                </c:pt>
                <c:pt idx="192">
                  <c:v>77.427900000000022</c:v>
                </c:pt>
                <c:pt idx="193">
                  <c:v>90.971100000000007</c:v>
                </c:pt>
                <c:pt idx="194">
                  <c:v>93.644099999999995</c:v>
                </c:pt>
                <c:pt idx="195">
                  <c:v>90.555299999999974</c:v>
                </c:pt>
                <c:pt idx="196">
                  <c:v>87.169499999999985</c:v>
                </c:pt>
                <c:pt idx="197">
                  <c:v>83.763900000000007</c:v>
                </c:pt>
                <c:pt idx="198">
                  <c:v>83.971800000000002</c:v>
                </c:pt>
                <c:pt idx="199">
                  <c:v>81.635399999999919</c:v>
                </c:pt>
                <c:pt idx="200">
                  <c:v>86.813100000000006</c:v>
                </c:pt>
                <c:pt idx="201">
                  <c:v>83.298599999999993</c:v>
                </c:pt>
                <c:pt idx="202">
                  <c:v>83.922299999999993</c:v>
                </c:pt>
                <c:pt idx="203">
                  <c:v>84.120299999999986</c:v>
                </c:pt>
                <c:pt idx="204">
                  <c:v>88.060500000000005</c:v>
                </c:pt>
                <c:pt idx="205">
                  <c:v>92.763000000000005</c:v>
                </c:pt>
                <c:pt idx="206">
                  <c:v>90.139499999999998</c:v>
                </c:pt>
                <c:pt idx="207">
                  <c:v>101.21760000000003</c:v>
                </c:pt>
                <c:pt idx="208">
                  <c:v>101.47499999999999</c:v>
                </c:pt>
                <c:pt idx="209">
                  <c:v>99.920700000000011</c:v>
                </c:pt>
                <c:pt idx="210">
                  <c:v>94.832099999999983</c:v>
                </c:pt>
                <c:pt idx="211">
                  <c:v>97.267500000000027</c:v>
                </c:pt>
                <c:pt idx="212">
                  <c:v>99.455399999999983</c:v>
                </c:pt>
                <c:pt idx="213">
                  <c:v>98.653500000000008</c:v>
                </c:pt>
                <c:pt idx="214">
                  <c:v>102.72239999999998</c:v>
                </c:pt>
                <c:pt idx="215">
                  <c:v>95.505299999999991</c:v>
                </c:pt>
                <c:pt idx="216">
                  <c:v>100.782</c:v>
                </c:pt>
                <c:pt idx="217">
                  <c:v>97.287300000000002</c:v>
                </c:pt>
                <c:pt idx="218">
                  <c:v>96.346800000000002</c:v>
                </c:pt>
                <c:pt idx="219">
                  <c:v>108.45450000000002</c:v>
                </c:pt>
                <c:pt idx="220">
                  <c:v>100.5741</c:v>
                </c:pt>
                <c:pt idx="221">
                  <c:v>101.277</c:v>
                </c:pt>
                <c:pt idx="222">
                  <c:v>94.653899999999979</c:v>
                </c:pt>
                <c:pt idx="223">
                  <c:v>100.77209999999998</c:v>
                </c:pt>
                <c:pt idx="224">
                  <c:v>100.06920000000002</c:v>
                </c:pt>
                <c:pt idx="225">
                  <c:v>98.722799999999978</c:v>
                </c:pt>
                <c:pt idx="226">
                  <c:v>102.81150000000002</c:v>
                </c:pt>
                <c:pt idx="227">
                  <c:v>97.010099999999994</c:v>
                </c:pt>
                <c:pt idx="228">
                  <c:v>106.9893</c:v>
                </c:pt>
                <c:pt idx="229">
                  <c:v>108.8604</c:v>
                </c:pt>
                <c:pt idx="230">
                  <c:v>106.7517</c:v>
                </c:pt>
                <c:pt idx="231">
                  <c:v>109.69199999999999</c:v>
                </c:pt>
                <c:pt idx="232">
                  <c:v>100.96020000000003</c:v>
                </c:pt>
                <c:pt idx="233">
                  <c:v>91.060199999999995</c:v>
                </c:pt>
                <c:pt idx="234">
                  <c:v>87.347700000000003</c:v>
                </c:pt>
                <c:pt idx="235">
                  <c:v>94.594500000000025</c:v>
                </c:pt>
                <c:pt idx="236">
                  <c:v>95.376599999999982</c:v>
                </c:pt>
                <c:pt idx="237">
                  <c:v>93.960900000000024</c:v>
                </c:pt>
                <c:pt idx="238">
                  <c:v>97.861500000000007</c:v>
                </c:pt>
                <c:pt idx="239">
                  <c:v>93.683699999999973</c:v>
                </c:pt>
                <c:pt idx="240">
                  <c:v>87.921899999999994</c:v>
                </c:pt>
                <c:pt idx="241">
                  <c:v>85.872599999999949</c:v>
                </c:pt>
                <c:pt idx="242">
                  <c:v>98.267400000000023</c:v>
                </c:pt>
                <c:pt idx="243">
                  <c:v>100.0296</c:v>
                </c:pt>
                <c:pt idx="244">
                  <c:v>91.7928</c:v>
                </c:pt>
                <c:pt idx="245">
                  <c:v>73.784700000000001</c:v>
                </c:pt>
                <c:pt idx="246">
                  <c:v>70.547400000000025</c:v>
                </c:pt>
                <c:pt idx="247">
                  <c:v>94.624200000000002</c:v>
                </c:pt>
                <c:pt idx="249">
                  <c:v>107.89019999999999</c:v>
                </c:pt>
                <c:pt idx="250">
                  <c:v>106.425</c:v>
                </c:pt>
                <c:pt idx="251">
                  <c:v>104.742</c:v>
                </c:pt>
                <c:pt idx="252">
                  <c:v>104.65289999999997</c:v>
                </c:pt>
                <c:pt idx="253">
                  <c:v>102.4353</c:v>
                </c:pt>
                <c:pt idx="254">
                  <c:v>99.712800000000016</c:v>
                </c:pt>
                <c:pt idx="255">
                  <c:v>94.762799999999999</c:v>
                </c:pt>
                <c:pt idx="256">
                  <c:v>93.663899999999998</c:v>
                </c:pt>
                <c:pt idx="257">
                  <c:v>93.436200000000028</c:v>
                </c:pt>
                <c:pt idx="258">
                  <c:v>95.020200000000003</c:v>
                </c:pt>
                <c:pt idx="259">
                  <c:v>95.495400000000004</c:v>
                </c:pt>
                <c:pt idx="260">
                  <c:v>94.18859999999998</c:v>
                </c:pt>
                <c:pt idx="261">
                  <c:v>111.5829</c:v>
                </c:pt>
                <c:pt idx="262">
                  <c:v>114.9093</c:v>
                </c:pt>
                <c:pt idx="263">
                  <c:v>105.01920000000003</c:v>
                </c:pt>
                <c:pt idx="264">
                  <c:v>102.04920000000003</c:v>
                </c:pt>
                <c:pt idx="265">
                  <c:v>95.891400000000004</c:v>
                </c:pt>
                <c:pt idx="266">
                  <c:v>98.297100000000029</c:v>
                </c:pt>
                <c:pt idx="267">
                  <c:v>96.010200000000026</c:v>
                </c:pt>
                <c:pt idx="268">
                  <c:v>74.349000000000004</c:v>
                </c:pt>
                <c:pt idx="269">
                  <c:v>74.051999999999992</c:v>
                </c:pt>
                <c:pt idx="270">
                  <c:v>86.753699999999995</c:v>
                </c:pt>
                <c:pt idx="271">
                  <c:v>82.377899999999983</c:v>
                </c:pt>
                <c:pt idx="272">
                  <c:v>92.386800000000008</c:v>
                </c:pt>
                <c:pt idx="273">
                  <c:v>111.0681</c:v>
                </c:pt>
                <c:pt idx="274">
                  <c:v>103.3065</c:v>
                </c:pt>
                <c:pt idx="275">
                  <c:v>101.23739999999999</c:v>
                </c:pt>
                <c:pt idx="276">
                  <c:v>104.9697</c:v>
                </c:pt>
                <c:pt idx="277">
                  <c:v>101.0295</c:v>
                </c:pt>
                <c:pt idx="278">
                  <c:v>107.74170000000002</c:v>
                </c:pt>
                <c:pt idx="279">
                  <c:v>105.5736</c:v>
                </c:pt>
                <c:pt idx="280">
                  <c:v>93.030299999999997</c:v>
                </c:pt>
                <c:pt idx="281">
                  <c:v>94.18859999999998</c:v>
                </c:pt>
                <c:pt idx="282">
                  <c:v>111.3849</c:v>
                </c:pt>
                <c:pt idx="283">
                  <c:v>86.159699999999987</c:v>
                </c:pt>
                <c:pt idx="284">
                  <c:v>91.485900000000001</c:v>
                </c:pt>
                <c:pt idx="285">
                  <c:v>93.851999999999975</c:v>
                </c:pt>
                <c:pt idx="286">
                  <c:v>95.376599999999982</c:v>
                </c:pt>
                <c:pt idx="287">
                  <c:v>97.307100000000005</c:v>
                </c:pt>
                <c:pt idx="288">
                  <c:v>99.891000000000005</c:v>
                </c:pt>
                <c:pt idx="289">
                  <c:v>99.465300000000013</c:v>
                </c:pt>
                <c:pt idx="290">
                  <c:v>96.138899999999978</c:v>
                </c:pt>
                <c:pt idx="291">
                  <c:v>108.9297</c:v>
                </c:pt>
                <c:pt idx="300">
                  <c:v>115.01819999999999</c:v>
                </c:pt>
                <c:pt idx="301">
                  <c:v>112.8105</c:v>
                </c:pt>
                <c:pt idx="302">
                  <c:v>113.65199999999999</c:v>
                </c:pt>
                <c:pt idx="303">
                  <c:v>102.465</c:v>
                </c:pt>
                <c:pt idx="304">
                  <c:v>99.970200000000006</c:v>
                </c:pt>
                <c:pt idx="305">
                  <c:v>99.67319999999998</c:v>
                </c:pt>
                <c:pt idx="306">
                  <c:v>100.8711</c:v>
                </c:pt>
                <c:pt idx="307">
                  <c:v>99.881100000000004</c:v>
                </c:pt>
                <c:pt idx="308">
                  <c:v>105.3954</c:v>
                </c:pt>
                <c:pt idx="309">
                  <c:v>110.68199999999999</c:v>
                </c:pt>
                <c:pt idx="310">
                  <c:v>107.51400000000002</c:v>
                </c:pt>
                <c:pt idx="311">
                  <c:v>96.802199999999999</c:v>
                </c:pt>
                <c:pt idx="312">
                  <c:v>103.03919999999999</c:v>
                </c:pt>
                <c:pt idx="313">
                  <c:v>102.34620000000002</c:v>
                </c:pt>
                <c:pt idx="314">
                  <c:v>108.8901</c:v>
                </c:pt>
                <c:pt idx="315">
                  <c:v>109.5039</c:v>
                </c:pt>
                <c:pt idx="316">
                  <c:v>111.63239999999998</c:v>
                </c:pt>
                <c:pt idx="319">
                  <c:v>101.63339999999998</c:v>
                </c:pt>
                <c:pt idx="320">
                  <c:v>101.5245</c:v>
                </c:pt>
                <c:pt idx="321">
                  <c:v>92.921400000000006</c:v>
                </c:pt>
                <c:pt idx="322">
                  <c:v>93.109499999999983</c:v>
                </c:pt>
                <c:pt idx="323">
                  <c:v>95.346900000000005</c:v>
                </c:pt>
                <c:pt idx="324">
                  <c:v>94.198499999999981</c:v>
                </c:pt>
                <c:pt idx="325">
                  <c:v>92.941200000000038</c:v>
                </c:pt>
                <c:pt idx="326">
                  <c:v>94.574699999999993</c:v>
                </c:pt>
                <c:pt idx="327">
                  <c:v>91.208699999999993</c:v>
                </c:pt>
                <c:pt idx="328">
                  <c:v>108.58320000000002</c:v>
                </c:pt>
                <c:pt idx="331">
                  <c:v>111.9789</c:v>
                </c:pt>
                <c:pt idx="332">
                  <c:v>107.6031</c:v>
                </c:pt>
                <c:pt idx="333">
                  <c:v>101.93040000000002</c:v>
                </c:pt>
                <c:pt idx="334">
                  <c:v>85.7637</c:v>
                </c:pt>
                <c:pt idx="335">
                  <c:v>79.823699999999974</c:v>
                </c:pt>
                <c:pt idx="336">
                  <c:v>82.843199999999996</c:v>
                </c:pt>
                <c:pt idx="337">
                  <c:v>89.931600000000032</c:v>
                </c:pt>
                <c:pt idx="338">
                  <c:v>106.95959999999999</c:v>
                </c:pt>
                <c:pt idx="339">
                  <c:v>101.5938</c:v>
                </c:pt>
                <c:pt idx="340">
                  <c:v>86.902199999999993</c:v>
                </c:pt>
                <c:pt idx="341">
                  <c:v>87.446700000000007</c:v>
                </c:pt>
                <c:pt idx="342">
                  <c:v>82.506600000000006</c:v>
                </c:pt>
                <c:pt idx="343">
                  <c:v>80.982000000000014</c:v>
                </c:pt>
                <c:pt idx="344">
                  <c:v>80.289000000000001</c:v>
                </c:pt>
                <c:pt idx="345">
                  <c:v>91.921499999999995</c:v>
                </c:pt>
                <c:pt idx="346">
                  <c:v>89.81280000000001</c:v>
                </c:pt>
                <c:pt idx="347">
                  <c:v>91.139399999999981</c:v>
                </c:pt>
                <c:pt idx="348">
                  <c:v>89.337599999999995</c:v>
                </c:pt>
                <c:pt idx="349">
                  <c:v>86.872499999999889</c:v>
                </c:pt>
                <c:pt idx="350">
                  <c:v>94.079699999999974</c:v>
                </c:pt>
                <c:pt idx="351">
                  <c:v>92.792700000000011</c:v>
                </c:pt>
                <c:pt idx="352">
                  <c:v>94.644000000000005</c:v>
                </c:pt>
                <c:pt idx="353">
                  <c:v>90.218700000000013</c:v>
                </c:pt>
                <c:pt idx="354">
                  <c:v>92.258099999999999</c:v>
                </c:pt>
                <c:pt idx="355">
                  <c:v>87.575399999999888</c:v>
                </c:pt>
                <c:pt idx="356">
                  <c:v>85.615200000000002</c:v>
                </c:pt>
                <c:pt idx="357">
                  <c:v>87.466499999999996</c:v>
                </c:pt>
                <c:pt idx="358">
                  <c:v>88.664400000000001</c:v>
                </c:pt>
                <c:pt idx="359">
                  <c:v>91.842299999999994</c:v>
                </c:pt>
                <c:pt idx="360">
                  <c:v>93.198599999999999</c:v>
                </c:pt>
                <c:pt idx="361">
                  <c:v>98.564400000000006</c:v>
                </c:pt>
                <c:pt idx="362">
                  <c:v>103.10850000000001</c:v>
                </c:pt>
                <c:pt idx="363">
                  <c:v>93.257999999999996</c:v>
                </c:pt>
                <c:pt idx="364">
                  <c:v>101.0493</c:v>
                </c:pt>
              </c:numCache>
            </c:numRef>
          </c:val>
          <c:extLst xmlns:c16r2="http://schemas.microsoft.com/office/drawing/2015/06/chart">
            <c:ext xmlns:c16="http://schemas.microsoft.com/office/drawing/2014/chart" uri="{C3380CC4-5D6E-409C-BE32-E72D297353CC}">
              <c16:uniqueId val="{00000000-9C72-42B7-8388-6B8588838602}"/>
            </c:ext>
          </c:extLst>
        </c:ser>
        <c:ser>
          <c:idx val="1"/>
          <c:order val="1"/>
          <c:spPr>
            <a:ln>
              <a:solidFill>
                <a:schemeClr val="bg1"/>
              </a:solidFill>
            </a:ln>
          </c:spPr>
          <c:marker>
            <c:symbol val="none"/>
          </c:marker>
          <c:trendline>
            <c:spPr>
              <a:ln w="15875">
                <a:solidFill>
                  <a:schemeClr val="accent2"/>
                </a:solidFill>
              </a:ln>
            </c:spPr>
            <c:trendlineType val="movingAvg"/>
            <c:period val="7"/>
            <c:dispRSqr val="1"/>
            <c:trendlineLbl>
              <c:numFmt formatCode="General" sourceLinked="0"/>
            </c:trendlineLbl>
          </c:trendline>
          <c:val>
            <c:numRef>
              <c:f>'2016'!$D$1:$D$366</c:f>
              <c:numCache>
                <c:formatCode>General</c:formatCode>
                <c:ptCount val="366"/>
                <c:pt idx="4">
                  <c:v>94.9</c:v>
                </c:pt>
                <c:pt idx="5">
                  <c:v>91.679999999999978</c:v>
                </c:pt>
                <c:pt idx="6">
                  <c:v>94.8</c:v>
                </c:pt>
                <c:pt idx="7">
                  <c:v>93.56</c:v>
                </c:pt>
                <c:pt idx="8">
                  <c:v>90.2</c:v>
                </c:pt>
                <c:pt idx="9">
                  <c:v>87.229999999999976</c:v>
                </c:pt>
                <c:pt idx="10">
                  <c:v>93.63</c:v>
                </c:pt>
                <c:pt idx="11">
                  <c:v>102</c:v>
                </c:pt>
                <c:pt idx="12">
                  <c:v>103.51</c:v>
                </c:pt>
                <c:pt idx="13">
                  <c:v>103.84</c:v>
                </c:pt>
                <c:pt idx="14">
                  <c:v>100.9</c:v>
                </c:pt>
                <c:pt idx="15">
                  <c:v>106.96000000000002</c:v>
                </c:pt>
                <c:pt idx="16">
                  <c:v>92.59</c:v>
                </c:pt>
                <c:pt idx="17">
                  <c:v>115.6</c:v>
                </c:pt>
                <c:pt idx="18">
                  <c:v>99.29</c:v>
                </c:pt>
                <c:pt idx="19">
                  <c:v>101.99000000000002</c:v>
                </c:pt>
                <c:pt idx="20">
                  <c:v>102.08</c:v>
                </c:pt>
                <c:pt idx="21">
                  <c:v>102.75</c:v>
                </c:pt>
                <c:pt idx="22">
                  <c:v>130.62</c:v>
                </c:pt>
                <c:pt idx="23">
                  <c:v>137.94</c:v>
                </c:pt>
                <c:pt idx="24">
                  <c:v>124.2</c:v>
                </c:pt>
                <c:pt idx="25">
                  <c:v>116.56</c:v>
                </c:pt>
                <c:pt idx="26">
                  <c:v>103.74000000000002</c:v>
                </c:pt>
                <c:pt idx="27">
                  <c:v>113.16</c:v>
                </c:pt>
                <c:pt idx="28">
                  <c:v>104.01</c:v>
                </c:pt>
                <c:pt idx="29">
                  <c:v>106.54</c:v>
                </c:pt>
                <c:pt idx="30">
                  <c:v>107.61</c:v>
                </c:pt>
                <c:pt idx="31">
                  <c:v>99.2</c:v>
                </c:pt>
                <c:pt idx="32">
                  <c:v>98.490000000000023</c:v>
                </c:pt>
                <c:pt idx="33">
                  <c:v>92.86999999999999</c:v>
                </c:pt>
                <c:pt idx="34">
                  <c:v>89.58</c:v>
                </c:pt>
                <c:pt idx="35">
                  <c:v>85.11999999999999</c:v>
                </c:pt>
                <c:pt idx="36">
                  <c:v>106.11999999999999</c:v>
                </c:pt>
                <c:pt idx="37">
                  <c:v>98.61</c:v>
                </c:pt>
                <c:pt idx="38">
                  <c:v>105</c:v>
                </c:pt>
                <c:pt idx="39">
                  <c:v>106.5</c:v>
                </c:pt>
                <c:pt idx="40">
                  <c:v>103.25</c:v>
                </c:pt>
                <c:pt idx="41">
                  <c:v>100.11</c:v>
                </c:pt>
                <c:pt idx="42">
                  <c:v>97.910000000000025</c:v>
                </c:pt>
                <c:pt idx="43">
                  <c:v>92.86999999999999</c:v>
                </c:pt>
                <c:pt idx="44">
                  <c:v>116.63</c:v>
                </c:pt>
                <c:pt idx="45">
                  <c:v>111.35</c:v>
                </c:pt>
                <c:pt idx="46">
                  <c:v>111.99000000000002</c:v>
                </c:pt>
                <c:pt idx="47">
                  <c:v>104.06</c:v>
                </c:pt>
                <c:pt idx="48">
                  <c:v>92.01</c:v>
                </c:pt>
                <c:pt idx="49">
                  <c:v>93.679999999999978</c:v>
                </c:pt>
                <c:pt idx="50">
                  <c:v>88.14</c:v>
                </c:pt>
                <c:pt idx="51">
                  <c:v>81.290000000000006</c:v>
                </c:pt>
                <c:pt idx="52">
                  <c:v>99.490000000000023</c:v>
                </c:pt>
                <c:pt idx="53">
                  <c:v>89.69</c:v>
                </c:pt>
                <c:pt idx="54">
                  <c:v>83.23</c:v>
                </c:pt>
                <c:pt idx="55">
                  <c:v>80.34</c:v>
                </c:pt>
                <c:pt idx="60">
                  <c:v>89.51</c:v>
                </c:pt>
                <c:pt idx="61">
                  <c:v>80.73</c:v>
                </c:pt>
                <c:pt idx="65">
                  <c:v>80.52</c:v>
                </c:pt>
                <c:pt idx="68">
                  <c:v>88.910000000000025</c:v>
                </c:pt>
                <c:pt idx="69">
                  <c:v>95.93</c:v>
                </c:pt>
                <c:pt idx="70">
                  <c:v>90.77</c:v>
                </c:pt>
                <c:pt idx="71">
                  <c:v>96.19</c:v>
                </c:pt>
                <c:pt idx="72">
                  <c:v>133.05000000000001</c:v>
                </c:pt>
                <c:pt idx="73">
                  <c:v>95.169999999999973</c:v>
                </c:pt>
                <c:pt idx="74">
                  <c:v>93.57</c:v>
                </c:pt>
                <c:pt idx="75">
                  <c:v>90.04</c:v>
                </c:pt>
                <c:pt idx="76">
                  <c:v>89.240000000000023</c:v>
                </c:pt>
                <c:pt idx="77">
                  <c:v>85.910000000000025</c:v>
                </c:pt>
                <c:pt idx="78">
                  <c:v>92.649999999999991</c:v>
                </c:pt>
                <c:pt idx="80">
                  <c:v>85.240000000000023</c:v>
                </c:pt>
                <c:pt idx="81">
                  <c:v>88.1</c:v>
                </c:pt>
                <c:pt idx="82">
                  <c:v>85.84</c:v>
                </c:pt>
                <c:pt idx="83">
                  <c:v>87.83</c:v>
                </c:pt>
                <c:pt idx="84">
                  <c:v>87.34</c:v>
                </c:pt>
                <c:pt idx="85">
                  <c:v>85.27</c:v>
                </c:pt>
                <c:pt idx="86">
                  <c:v>82.63000000000001</c:v>
                </c:pt>
                <c:pt idx="87">
                  <c:v>92.9</c:v>
                </c:pt>
                <c:pt idx="88">
                  <c:v>93.58</c:v>
                </c:pt>
                <c:pt idx="89">
                  <c:v>97.22</c:v>
                </c:pt>
                <c:pt idx="90">
                  <c:v>108.4</c:v>
                </c:pt>
                <c:pt idx="91">
                  <c:v>97.48</c:v>
                </c:pt>
                <c:pt idx="92">
                  <c:v>87.3</c:v>
                </c:pt>
                <c:pt idx="93">
                  <c:v>86.4</c:v>
                </c:pt>
                <c:pt idx="95">
                  <c:v>95.79</c:v>
                </c:pt>
                <c:pt idx="96">
                  <c:v>92.35</c:v>
                </c:pt>
                <c:pt idx="97">
                  <c:v>89.38000000000001</c:v>
                </c:pt>
                <c:pt idx="98">
                  <c:v>88.31</c:v>
                </c:pt>
                <c:pt idx="99">
                  <c:v>94.48</c:v>
                </c:pt>
                <c:pt idx="100">
                  <c:v>91.09</c:v>
                </c:pt>
                <c:pt idx="101">
                  <c:v>84.679999999999978</c:v>
                </c:pt>
                <c:pt idx="103">
                  <c:v>88.92</c:v>
                </c:pt>
                <c:pt idx="104">
                  <c:v>89.740000000000023</c:v>
                </c:pt>
                <c:pt idx="105">
                  <c:v>87.8</c:v>
                </c:pt>
                <c:pt idx="106">
                  <c:v>94.32</c:v>
                </c:pt>
                <c:pt idx="107">
                  <c:v>87.06</c:v>
                </c:pt>
                <c:pt idx="108">
                  <c:v>85.43</c:v>
                </c:pt>
                <c:pt idx="109">
                  <c:v>89.31</c:v>
                </c:pt>
                <c:pt idx="110">
                  <c:v>93.679999999999978</c:v>
                </c:pt>
                <c:pt idx="111">
                  <c:v>91.81</c:v>
                </c:pt>
                <c:pt idx="112">
                  <c:v>95.43</c:v>
                </c:pt>
                <c:pt idx="113">
                  <c:v>111.78</c:v>
                </c:pt>
                <c:pt idx="114">
                  <c:v>105.09</c:v>
                </c:pt>
                <c:pt idx="118">
                  <c:v>85.240000000000023</c:v>
                </c:pt>
                <c:pt idx="120">
                  <c:v>81.760000000000005</c:v>
                </c:pt>
                <c:pt idx="123">
                  <c:v>95.179999999999978</c:v>
                </c:pt>
                <c:pt idx="124">
                  <c:v>101.66</c:v>
                </c:pt>
                <c:pt idx="125">
                  <c:v>96.09</c:v>
                </c:pt>
                <c:pt idx="126">
                  <c:v>107.32</c:v>
                </c:pt>
                <c:pt idx="128">
                  <c:v>97.710000000000022</c:v>
                </c:pt>
                <c:pt idx="129">
                  <c:v>95.53</c:v>
                </c:pt>
                <c:pt idx="130">
                  <c:v>91.36</c:v>
                </c:pt>
                <c:pt idx="131">
                  <c:v>91.240000000000023</c:v>
                </c:pt>
                <c:pt idx="132">
                  <c:v>97.58</c:v>
                </c:pt>
                <c:pt idx="133">
                  <c:v>94.55</c:v>
                </c:pt>
                <c:pt idx="134">
                  <c:v>89.22</c:v>
                </c:pt>
                <c:pt idx="135">
                  <c:v>81.569999999999993</c:v>
                </c:pt>
                <c:pt idx="136">
                  <c:v>86.229999999999976</c:v>
                </c:pt>
                <c:pt idx="137">
                  <c:v>88.75</c:v>
                </c:pt>
                <c:pt idx="138">
                  <c:v>89.14</c:v>
                </c:pt>
                <c:pt idx="139">
                  <c:v>89.26</c:v>
                </c:pt>
                <c:pt idx="140">
                  <c:v>91.39</c:v>
                </c:pt>
                <c:pt idx="141">
                  <c:v>87.03</c:v>
                </c:pt>
                <c:pt idx="142">
                  <c:v>100.77</c:v>
                </c:pt>
                <c:pt idx="145">
                  <c:v>105.24000000000002</c:v>
                </c:pt>
                <c:pt idx="146">
                  <c:v>105.98</c:v>
                </c:pt>
                <c:pt idx="147">
                  <c:v>101.79</c:v>
                </c:pt>
                <c:pt idx="148">
                  <c:v>109.59</c:v>
                </c:pt>
                <c:pt idx="149">
                  <c:v>101.76</c:v>
                </c:pt>
                <c:pt idx="150">
                  <c:v>80.979999999999976</c:v>
                </c:pt>
                <c:pt idx="151">
                  <c:v>117.38</c:v>
                </c:pt>
                <c:pt idx="157">
                  <c:v>82.940000000000026</c:v>
                </c:pt>
                <c:pt idx="158">
                  <c:v>88.440000000000026</c:v>
                </c:pt>
                <c:pt idx="162">
                  <c:v>89.5</c:v>
                </c:pt>
                <c:pt idx="163">
                  <c:v>101.71000000000002</c:v>
                </c:pt>
                <c:pt idx="164">
                  <c:v>89.45</c:v>
                </c:pt>
                <c:pt idx="165">
                  <c:v>106.77</c:v>
                </c:pt>
                <c:pt idx="166">
                  <c:v>116.29</c:v>
                </c:pt>
                <c:pt idx="167">
                  <c:v>98.89</c:v>
                </c:pt>
                <c:pt idx="168">
                  <c:v>123.84</c:v>
                </c:pt>
                <c:pt idx="169">
                  <c:v>88.440000000000026</c:v>
                </c:pt>
                <c:pt idx="170">
                  <c:v>91.710000000000022</c:v>
                </c:pt>
                <c:pt idx="171">
                  <c:v>136.03</c:v>
                </c:pt>
                <c:pt idx="172">
                  <c:v>132.16</c:v>
                </c:pt>
                <c:pt idx="173">
                  <c:v>112.01</c:v>
                </c:pt>
                <c:pt idx="174">
                  <c:v>118.48</c:v>
                </c:pt>
                <c:pt idx="175">
                  <c:v>119.01</c:v>
                </c:pt>
                <c:pt idx="176">
                  <c:v>127.75</c:v>
                </c:pt>
                <c:pt idx="177">
                  <c:v>117.89</c:v>
                </c:pt>
                <c:pt idx="178">
                  <c:v>90.52</c:v>
                </c:pt>
                <c:pt idx="179">
                  <c:v>91.410000000000025</c:v>
                </c:pt>
                <c:pt idx="180">
                  <c:v>98.34</c:v>
                </c:pt>
                <c:pt idx="181">
                  <c:v>112.77</c:v>
                </c:pt>
                <c:pt idx="182">
                  <c:v>110.66</c:v>
                </c:pt>
                <c:pt idx="183">
                  <c:v>136.22999999999999</c:v>
                </c:pt>
                <c:pt idx="184">
                  <c:v>133.13999999999999</c:v>
                </c:pt>
                <c:pt idx="185">
                  <c:v>138.70999999999998</c:v>
                </c:pt>
                <c:pt idx="186">
                  <c:v>132.81</c:v>
                </c:pt>
                <c:pt idx="187">
                  <c:v>139.68</c:v>
                </c:pt>
                <c:pt idx="188">
                  <c:v>141.5</c:v>
                </c:pt>
                <c:pt idx="189">
                  <c:v>137.39000000000001</c:v>
                </c:pt>
                <c:pt idx="190">
                  <c:v>132.59</c:v>
                </c:pt>
                <c:pt idx="191">
                  <c:v>140.18</c:v>
                </c:pt>
                <c:pt idx="192">
                  <c:v>115.56</c:v>
                </c:pt>
                <c:pt idx="193">
                  <c:v>117.85</c:v>
                </c:pt>
                <c:pt idx="194">
                  <c:v>119.96000000000002</c:v>
                </c:pt>
                <c:pt idx="195">
                  <c:v>110.64</c:v>
                </c:pt>
                <c:pt idx="196">
                  <c:v>115.36</c:v>
                </c:pt>
                <c:pt idx="197">
                  <c:v>126.77</c:v>
                </c:pt>
                <c:pt idx="198">
                  <c:v>108.64999999999999</c:v>
                </c:pt>
                <c:pt idx="199">
                  <c:v>112.22</c:v>
                </c:pt>
                <c:pt idx="200">
                  <c:v>108.78</c:v>
                </c:pt>
                <c:pt idx="201">
                  <c:v>123.6</c:v>
                </c:pt>
                <c:pt idx="202">
                  <c:v>122.83</c:v>
                </c:pt>
                <c:pt idx="203">
                  <c:v>123.1</c:v>
                </c:pt>
                <c:pt idx="204">
                  <c:v>117.29</c:v>
                </c:pt>
                <c:pt idx="205">
                  <c:v>111.95</c:v>
                </c:pt>
                <c:pt idx="206">
                  <c:v>114.38</c:v>
                </c:pt>
                <c:pt idx="207">
                  <c:v>108.21000000000002</c:v>
                </c:pt>
                <c:pt idx="208">
                  <c:v>106.82</c:v>
                </c:pt>
                <c:pt idx="209">
                  <c:v>103.59</c:v>
                </c:pt>
                <c:pt idx="210">
                  <c:v>112.23</c:v>
                </c:pt>
                <c:pt idx="211">
                  <c:v>112.8</c:v>
                </c:pt>
                <c:pt idx="212">
                  <c:v>106.35</c:v>
                </c:pt>
                <c:pt idx="215">
                  <c:v>97.11999999999999</c:v>
                </c:pt>
                <c:pt idx="216">
                  <c:v>90</c:v>
                </c:pt>
                <c:pt idx="217">
                  <c:v>92.09</c:v>
                </c:pt>
                <c:pt idx="218">
                  <c:v>101.14</c:v>
                </c:pt>
                <c:pt idx="219">
                  <c:v>105.48</c:v>
                </c:pt>
                <c:pt idx="220">
                  <c:v>101.17999999999998</c:v>
                </c:pt>
                <c:pt idx="221">
                  <c:v>101.04</c:v>
                </c:pt>
                <c:pt idx="222">
                  <c:v>108.83</c:v>
                </c:pt>
                <c:pt idx="223">
                  <c:v>109.49000000000002</c:v>
                </c:pt>
                <c:pt idx="224">
                  <c:v>115.7</c:v>
                </c:pt>
                <c:pt idx="225">
                  <c:v>114.16</c:v>
                </c:pt>
                <c:pt idx="226">
                  <c:v>114.13</c:v>
                </c:pt>
                <c:pt idx="227">
                  <c:v>122.16</c:v>
                </c:pt>
                <c:pt idx="228">
                  <c:v>122.01</c:v>
                </c:pt>
                <c:pt idx="229">
                  <c:v>125.25</c:v>
                </c:pt>
                <c:pt idx="230">
                  <c:v>125.6</c:v>
                </c:pt>
                <c:pt idx="231">
                  <c:v>142.49</c:v>
                </c:pt>
                <c:pt idx="233">
                  <c:v>124.64</c:v>
                </c:pt>
                <c:pt idx="234">
                  <c:v>123.64</c:v>
                </c:pt>
                <c:pt idx="235">
                  <c:v>119.6</c:v>
                </c:pt>
                <c:pt idx="236">
                  <c:v>97.43</c:v>
                </c:pt>
                <c:pt idx="237">
                  <c:v>121.83</c:v>
                </c:pt>
                <c:pt idx="238">
                  <c:v>125.63</c:v>
                </c:pt>
                <c:pt idx="239">
                  <c:v>101.99000000000002</c:v>
                </c:pt>
                <c:pt idx="240">
                  <c:v>108.95</c:v>
                </c:pt>
                <c:pt idx="241">
                  <c:v>90.22</c:v>
                </c:pt>
                <c:pt idx="242">
                  <c:v>88.179999999999978</c:v>
                </c:pt>
                <c:pt idx="243">
                  <c:v>105.14999999999999</c:v>
                </c:pt>
                <c:pt idx="244">
                  <c:v>108.75</c:v>
                </c:pt>
                <c:pt idx="245">
                  <c:v>100.79</c:v>
                </c:pt>
                <c:pt idx="248">
                  <c:v>122.77</c:v>
                </c:pt>
                <c:pt idx="249">
                  <c:v>114.91000000000003</c:v>
                </c:pt>
                <c:pt idx="250">
                  <c:v>101.23</c:v>
                </c:pt>
                <c:pt idx="251">
                  <c:v>102.16999999999999</c:v>
                </c:pt>
                <c:pt idx="252">
                  <c:v>98.149999999999991</c:v>
                </c:pt>
                <c:pt idx="253">
                  <c:v>122.79</c:v>
                </c:pt>
                <c:pt idx="254">
                  <c:v>116.47</c:v>
                </c:pt>
                <c:pt idx="255">
                  <c:v>107.14</c:v>
                </c:pt>
                <c:pt idx="257">
                  <c:v>94.910000000000025</c:v>
                </c:pt>
                <c:pt idx="260">
                  <c:v>92.82</c:v>
                </c:pt>
                <c:pt idx="261">
                  <c:v>125.96000000000002</c:v>
                </c:pt>
                <c:pt idx="262">
                  <c:v>106.31</c:v>
                </c:pt>
                <c:pt idx="263">
                  <c:v>106.11</c:v>
                </c:pt>
                <c:pt idx="264">
                  <c:v>103.29</c:v>
                </c:pt>
                <c:pt idx="265">
                  <c:v>89.92</c:v>
                </c:pt>
                <c:pt idx="266">
                  <c:v>104.07</c:v>
                </c:pt>
                <c:pt idx="267">
                  <c:v>114.16999999999999</c:v>
                </c:pt>
                <c:pt idx="268">
                  <c:v>121.09</c:v>
                </c:pt>
                <c:pt idx="269">
                  <c:v>102.7</c:v>
                </c:pt>
                <c:pt idx="271">
                  <c:v>99.14</c:v>
                </c:pt>
                <c:pt idx="272">
                  <c:v>95.169999999999973</c:v>
                </c:pt>
                <c:pt idx="273">
                  <c:v>100.84</c:v>
                </c:pt>
                <c:pt idx="278">
                  <c:v>111.84</c:v>
                </c:pt>
                <c:pt idx="281">
                  <c:v>113.64</c:v>
                </c:pt>
                <c:pt idx="282">
                  <c:v>103.14</c:v>
                </c:pt>
                <c:pt idx="283">
                  <c:v>106.57</c:v>
                </c:pt>
                <c:pt idx="284">
                  <c:v>105.66999999999999</c:v>
                </c:pt>
                <c:pt idx="285">
                  <c:v>103.34</c:v>
                </c:pt>
                <c:pt idx="286">
                  <c:v>101.08</c:v>
                </c:pt>
                <c:pt idx="287">
                  <c:v>100.16999999999999</c:v>
                </c:pt>
                <c:pt idx="288">
                  <c:v>104.24000000000002</c:v>
                </c:pt>
                <c:pt idx="289">
                  <c:v>95.76</c:v>
                </c:pt>
                <c:pt idx="290">
                  <c:v>99</c:v>
                </c:pt>
                <c:pt idx="291">
                  <c:v>102.11999999999999</c:v>
                </c:pt>
                <c:pt idx="292">
                  <c:v>101.05</c:v>
                </c:pt>
                <c:pt idx="293">
                  <c:v>101.11999999999999</c:v>
                </c:pt>
                <c:pt idx="294">
                  <c:v>101.53</c:v>
                </c:pt>
                <c:pt idx="295">
                  <c:v>106.36999999999999</c:v>
                </c:pt>
                <c:pt idx="296">
                  <c:v>101.02</c:v>
                </c:pt>
                <c:pt idx="297">
                  <c:v>97.76</c:v>
                </c:pt>
                <c:pt idx="300">
                  <c:v>110</c:v>
                </c:pt>
                <c:pt idx="301">
                  <c:v>97.32</c:v>
                </c:pt>
                <c:pt idx="303">
                  <c:v>102.22</c:v>
                </c:pt>
                <c:pt idx="304">
                  <c:v>94.27</c:v>
                </c:pt>
                <c:pt idx="305">
                  <c:v>96.32</c:v>
                </c:pt>
                <c:pt idx="306">
                  <c:v>96.79</c:v>
                </c:pt>
                <c:pt idx="307">
                  <c:v>96.149999999999991</c:v>
                </c:pt>
                <c:pt idx="311">
                  <c:v>94.490000000000023</c:v>
                </c:pt>
                <c:pt idx="312">
                  <c:v>96.26</c:v>
                </c:pt>
                <c:pt idx="313">
                  <c:v>97.740000000000023</c:v>
                </c:pt>
                <c:pt idx="314">
                  <c:v>98.740000000000023</c:v>
                </c:pt>
                <c:pt idx="315">
                  <c:v>91.22</c:v>
                </c:pt>
                <c:pt idx="316">
                  <c:v>101.21000000000002</c:v>
                </c:pt>
                <c:pt idx="317">
                  <c:v>97.679999999999978</c:v>
                </c:pt>
                <c:pt idx="318">
                  <c:v>103.09</c:v>
                </c:pt>
                <c:pt idx="319">
                  <c:v>99.47</c:v>
                </c:pt>
                <c:pt idx="320">
                  <c:v>100.33</c:v>
                </c:pt>
                <c:pt idx="321">
                  <c:v>98.78</c:v>
                </c:pt>
                <c:pt idx="322">
                  <c:v>96.79</c:v>
                </c:pt>
                <c:pt idx="323">
                  <c:v>96.39</c:v>
                </c:pt>
                <c:pt idx="324">
                  <c:v>96.54</c:v>
                </c:pt>
                <c:pt idx="325">
                  <c:v>98.240000000000023</c:v>
                </c:pt>
                <c:pt idx="326">
                  <c:v>93.76</c:v>
                </c:pt>
                <c:pt idx="327">
                  <c:v>107.31</c:v>
                </c:pt>
                <c:pt idx="328">
                  <c:v>104.57</c:v>
                </c:pt>
                <c:pt idx="329">
                  <c:v>98.72</c:v>
                </c:pt>
                <c:pt idx="330">
                  <c:v>87.81</c:v>
                </c:pt>
                <c:pt idx="331">
                  <c:v>85.75</c:v>
                </c:pt>
                <c:pt idx="332">
                  <c:v>89.09</c:v>
                </c:pt>
                <c:pt idx="333">
                  <c:v>92.34</c:v>
                </c:pt>
                <c:pt idx="335">
                  <c:v>97.32</c:v>
                </c:pt>
                <c:pt idx="336">
                  <c:v>92.03</c:v>
                </c:pt>
                <c:pt idx="337">
                  <c:v>85.92</c:v>
                </c:pt>
                <c:pt idx="338">
                  <c:v>83.240000000000023</c:v>
                </c:pt>
                <c:pt idx="339">
                  <c:v>89.8</c:v>
                </c:pt>
                <c:pt idx="340">
                  <c:v>99.25</c:v>
                </c:pt>
                <c:pt idx="341">
                  <c:v>98.4</c:v>
                </c:pt>
                <c:pt idx="342">
                  <c:v>96.06</c:v>
                </c:pt>
                <c:pt idx="343">
                  <c:v>92.47</c:v>
                </c:pt>
                <c:pt idx="344">
                  <c:v>96.84</c:v>
                </c:pt>
                <c:pt idx="345">
                  <c:v>93.910000000000025</c:v>
                </c:pt>
                <c:pt idx="346">
                  <c:v>88.910000000000025</c:v>
                </c:pt>
                <c:pt idx="347">
                  <c:v>88.950000000000017</c:v>
                </c:pt>
                <c:pt idx="348">
                  <c:v>103.24000000000002</c:v>
                </c:pt>
                <c:pt idx="349">
                  <c:v>104.86999999999999</c:v>
                </c:pt>
                <c:pt idx="350">
                  <c:v>99.960000000000022</c:v>
                </c:pt>
                <c:pt idx="351">
                  <c:v>96.82</c:v>
                </c:pt>
                <c:pt idx="352">
                  <c:v>86.550000000000011</c:v>
                </c:pt>
                <c:pt idx="353">
                  <c:v>100.51</c:v>
                </c:pt>
                <c:pt idx="354">
                  <c:v>86.850000000000009</c:v>
                </c:pt>
                <c:pt idx="355">
                  <c:v>85.26</c:v>
                </c:pt>
                <c:pt idx="356">
                  <c:v>89.75</c:v>
                </c:pt>
                <c:pt idx="357">
                  <c:v>88.72</c:v>
                </c:pt>
                <c:pt idx="358">
                  <c:v>91.910000000000025</c:v>
                </c:pt>
                <c:pt idx="359">
                  <c:v>85.53</c:v>
                </c:pt>
                <c:pt idx="360">
                  <c:v>86</c:v>
                </c:pt>
                <c:pt idx="361">
                  <c:v>100.29</c:v>
                </c:pt>
                <c:pt idx="362">
                  <c:v>98.53</c:v>
                </c:pt>
                <c:pt idx="363">
                  <c:v>102.69</c:v>
                </c:pt>
                <c:pt idx="364">
                  <c:v>98.27</c:v>
                </c:pt>
                <c:pt idx="365">
                  <c:v>111.33</c:v>
                </c:pt>
              </c:numCache>
            </c:numRef>
          </c:val>
          <c:extLst xmlns:c16r2="http://schemas.microsoft.com/office/drawing/2015/06/chart">
            <c:ext xmlns:c16="http://schemas.microsoft.com/office/drawing/2014/chart" uri="{C3380CC4-5D6E-409C-BE32-E72D297353CC}">
              <c16:uniqueId val="{00000001-9C72-42B7-8388-6B8588838602}"/>
            </c:ext>
          </c:extLst>
        </c:ser>
        <c:marker val="1"/>
        <c:axId val="87197952"/>
        <c:axId val="174981504"/>
      </c:lineChart>
      <c:catAx>
        <c:axId val="87197952"/>
        <c:scaling>
          <c:orientation val="minMax"/>
        </c:scaling>
        <c:axPos val="b"/>
        <c:title>
          <c:tx>
            <c:rich>
              <a:bodyPr/>
              <a:lstStyle/>
              <a:p>
                <a:pPr>
                  <a:defRPr/>
                </a:pPr>
                <a:r>
                  <a:rPr lang="zh-CN"/>
                  <a:t>日</a:t>
                </a:r>
              </a:p>
            </c:rich>
          </c:tx>
        </c:title>
        <c:numFmt formatCode="General" sourceLinked="1"/>
        <c:majorTickMark val="none"/>
        <c:tickLblPos val="nextTo"/>
        <c:spPr>
          <a:noFill/>
          <a:ln w="9525" cap="flat" cmpd="sng" algn="ctr">
            <a:solidFill>
              <a:schemeClr val="tx1"/>
            </a:solidFill>
            <a:round/>
          </a:ln>
          <a:effectLst/>
        </c:spPr>
        <c:txPr>
          <a:bodyPr rot="-60000000" vert="horz"/>
          <a:lstStyle/>
          <a:p>
            <a:pPr>
              <a:defRPr/>
            </a:pPr>
            <a:endParaRPr lang="zh-CN"/>
          </a:p>
        </c:txPr>
        <c:crossAx val="174981504"/>
        <c:crosses val="autoZero"/>
        <c:auto val="1"/>
        <c:lblAlgn val="ctr"/>
        <c:lblOffset val="100"/>
        <c:tickLblSkip val="30"/>
      </c:catAx>
      <c:valAx>
        <c:axId val="174981504"/>
        <c:scaling>
          <c:orientation val="minMax"/>
        </c:scaling>
        <c:axPos val="l"/>
        <c:title>
          <c:tx>
            <c:rich>
              <a:bodyPr rot="-5400000" vert="horz"/>
              <a:lstStyle/>
              <a:p>
                <a:pPr>
                  <a:defRPr/>
                </a:pPr>
                <a:r>
                  <a:rPr lang="zh-CN"/>
                  <a:t>能耗指数</a:t>
                </a:r>
              </a:p>
            </c:rich>
          </c:tx>
          <c:layout>
            <c:manualLayout>
              <c:xMode val="edge"/>
              <c:yMode val="edge"/>
              <c:x val="1.4680066098934417E-3"/>
              <c:y val="0.34039440114458391"/>
            </c:manualLayout>
          </c:layout>
          <c:spPr>
            <a:noFill/>
            <a:ln>
              <a:noFill/>
            </a:ln>
            <a:effectLst/>
          </c:spPr>
        </c:title>
        <c:numFmt formatCode="General" sourceLinked="1"/>
        <c:majorTickMark val="in"/>
        <c:tickLblPos val="nextTo"/>
        <c:spPr>
          <a:noFill/>
          <a:ln>
            <a:solidFill>
              <a:schemeClr val="accent4">
                <a:lumMod val="50000"/>
              </a:schemeClr>
            </a:solidFill>
          </a:ln>
          <a:effectLst/>
        </c:spPr>
        <c:txPr>
          <a:bodyPr rot="-60000000" vert="horz"/>
          <a:lstStyle/>
          <a:p>
            <a:pPr>
              <a:defRPr/>
            </a:pPr>
            <a:endParaRPr lang="zh-CN"/>
          </a:p>
        </c:txPr>
        <c:crossAx val="87197952"/>
        <c:crosses val="autoZero"/>
        <c:crossBetween val="between"/>
      </c:valAx>
      <c:spPr>
        <a:noFill/>
        <a:ln>
          <a:solidFill>
            <a:schemeClr val="tx1"/>
          </a:solidFill>
        </a:ln>
        <a:effectLst/>
      </c:spPr>
    </c:plotArea>
    <c:plotVisOnly val="1"/>
    <c:dispBlanksAs val="gap"/>
  </c:chart>
  <c:spPr>
    <a:ln>
      <a:noFill/>
    </a:ln>
  </c:spPr>
  <c:txPr>
    <a:bodyPr/>
    <a:lstStyle/>
    <a:p>
      <a:pPr>
        <a:defRPr>
          <a:latin typeface="Times New Roman" panose="02020603050405020304" pitchFamily="18" charset="0"/>
          <a:ea typeface="+mn-ea"/>
          <a:cs typeface="Times New Roman" panose="02020603050405020304" pitchFamily="18" charset="0"/>
        </a:defRPr>
      </a:pPr>
      <a:endParaRPr lang="zh-CN"/>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0.17193</cdr:x>
      <cdr:y>0.07383</cdr:y>
    </cdr:from>
    <cdr:to>
      <cdr:x>0.20979</cdr:x>
      <cdr:y>0.12939</cdr:y>
    </cdr:to>
    <cdr:sp macro="" textlink="">
      <cdr:nvSpPr>
        <cdr:cNvPr id="2" name="矩形 1"/>
        <cdr:cNvSpPr/>
      </cdr:nvSpPr>
      <cdr:spPr>
        <a:xfrm xmlns:a="http://schemas.openxmlformats.org/drawingml/2006/main">
          <a:off x="894060" y="202543"/>
          <a:ext cx="196870" cy="152386"/>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ltLang="en-US"/>
        </a:p>
      </cdr:txBody>
    </cdr:sp>
  </cdr:relSizeAnchor>
</c:userShapes>
</file>

<file path=word/drawings/drawing2.xml><?xml version="1.0" encoding="utf-8"?>
<c:userShapes xmlns:c="http://schemas.openxmlformats.org/drawingml/2006/chart">
  <cdr:relSizeAnchor xmlns:cdr="http://schemas.openxmlformats.org/drawingml/2006/chartDrawing">
    <cdr:from>
      <cdr:x>0.32083</cdr:x>
      <cdr:y>0.04722</cdr:y>
    </cdr:from>
    <cdr:to>
      <cdr:x>0.36389</cdr:x>
      <cdr:y>0.10278</cdr:y>
    </cdr:to>
    <cdr:sp macro="" textlink="">
      <cdr:nvSpPr>
        <cdr:cNvPr id="2" name="矩形 1"/>
        <cdr:cNvSpPr/>
      </cdr:nvSpPr>
      <cdr:spPr>
        <a:xfrm xmlns:a="http://schemas.openxmlformats.org/drawingml/2006/main">
          <a:off x="1466850" y="129540"/>
          <a:ext cx="196850" cy="15240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ltLang="en-US"/>
        </a:p>
      </cdr:txBody>
    </cdr:sp>
  </cdr:relSizeAnchor>
  <cdr:relSizeAnchor xmlns:cdr="http://schemas.openxmlformats.org/drawingml/2006/chartDrawing">
    <cdr:from>
      <cdr:x>0.14444</cdr:x>
      <cdr:y>0.07097</cdr:y>
    </cdr:from>
    <cdr:to>
      <cdr:x>0.1875</cdr:x>
      <cdr:y>0.13548</cdr:y>
    </cdr:to>
    <cdr:sp macro="" textlink="">
      <cdr:nvSpPr>
        <cdr:cNvPr id="3" name="矩形 2"/>
        <cdr:cNvSpPr/>
      </cdr:nvSpPr>
      <cdr:spPr>
        <a:xfrm xmlns:a="http://schemas.openxmlformats.org/drawingml/2006/main">
          <a:off x="660400" y="167640"/>
          <a:ext cx="196850" cy="15240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ltLang="en-US"/>
        </a:p>
      </cdr:txBody>
    </cdr:sp>
  </cdr:relSizeAnchor>
</c:userShapes>
</file>

<file path=word/drawings/drawing3.xml><?xml version="1.0" encoding="utf-8"?>
<c:userShapes xmlns:c="http://schemas.openxmlformats.org/drawingml/2006/chart">
  <cdr:relSizeAnchor xmlns:cdr="http://schemas.openxmlformats.org/drawingml/2006/chartDrawing">
    <cdr:from>
      <cdr:x>0.59009</cdr:x>
      <cdr:y>0.13088</cdr:y>
    </cdr:from>
    <cdr:to>
      <cdr:x>0.72849</cdr:x>
      <cdr:y>0.22109</cdr:y>
    </cdr:to>
    <cdr:sp macro="" textlink="">
      <cdr:nvSpPr>
        <cdr:cNvPr id="3" name="文本框 22"/>
        <cdr:cNvSpPr txBox="1"/>
      </cdr:nvSpPr>
      <cdr:spPr>
        <a:xfrm xmlns:a="http://schemas.openxmlformats.org/drawingml/2006/main">
          <a:off x="2978150" y="327025"/>
          <a:ext cx="698500" cy="22542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n-US" sz="1050" kern="100">
              <a:effectLst/>
              <a:latin typeface="Times New Roman" panose="02020603050405020304" pitchFamily="18" charset="0"/>
              <a:ea typeface="宋体" panose="02010600030101010101" pitchFamily="2" charset="-122"/>
              <a:cs typeface="Times New Roman" panose="02020603050405020304" pitchFamily="18" charset="0"/>
            </a:rPr>
            <a:t>2016</a:t>
          </a:r>
          <a:r>
            <a:rPr lang="zh-CN" sz="1050" kern="100">
              <a:effectLst/>
              <a:latin typeface="Times New Roman" panose="02020603050405020304" pitchFamily="18" charset="0"/>
              <a:ea typeface="宋体" panose="02010600030101010101" pitchFamily="2" charset="-122"/>
              <a:cs typeface="Times New Roman" panose="02020603050405020304" pitchFamily="18" charset="0"/>
            </a:rPr>
            <a:t>年</a:t>
          </a:r>
        </a:p>
      </cdr:txBody>
    </cdr:sp>
  </cdr:relSizeAnchor>
  <cdr:relSizeAnchor xmlns:cdr="http://schemas.openxmlformats.org/drawingml/2006/chartDrawing">
    <cdr:from>
      <cdr:x>0.89721</cdr:x>
      <cdr:y>0.27573</cdr:y>
    </cdr:from>
    <cdr:to>
      <cdr:x>0.9274</cdr:x>
      <cdr:y>0.36976</cdr:y>
    </cdr:to>
    <cdr:cxnSp macro="">
      <cdr:nvCxnSpPr>
        <cdr:cNvPr id="4" name="直接连接符 3"/>
        <cdr:cNvCxnSpPr/>
      </cdr:nvCxnSpPr>
      <cdr:spPr>
        <a:xfrm xmlns:a="http://schemas.openxmlformats.org/drawingml/2006/main">
          <a:off x="4528185" y="688975"/>
          <a:ext cx="152400" cy="2349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0.60015</cdr:x>
      <cdr:y>0.22109</cdr:y>
    </cdr:from>
    <cdr:to>
      <cdr:x>0.6228</cdr:x>
      <cdr:y>0.29987</cdr:y>
    </cdr:to>
    <cdr:cxnSp macro="">
      <cdr:nvCxnSpPr>
        <cdr:cNvPr id="5" name="直接连接符 4"/>
        <cdr:cNvCxnSpPr/>
      </cdr:nvCxnSpPr>
      <cdr:spPr>
        <a:xfrm xmlns:a="http://schemas.openxmlformats.org/drawingml/2006/main" flipV="1">
          <a:off x="3028950" y="552450"/>
          <a:ext cx="114300" cy="196851"/>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0.81882</cdr:x>
      <cdr:y>0.18933</cdr:y>
    </cdr:from>
    <cdr:to>
      <cdr:x>0.94716</cdr:x>
      <cdr:y>0.30114</cdr:y>
    </cdr:to>
    <cdr:sp macro="" textlink="">
      <cdr:nvSpPr>
        <cdr:cNvPr id="7" name="文本框 34"/>
        <cdr:cNvSpPr txBox="1"/>
      </cdr:nvSpPr>
      <cdr:spPr>
        <a:xfrm xmlns:a="http://schemas.openxmlformats.org/drawingml/2006/main">
          <a:off x="4132580" y="473075"/>
          <a:ext cx="64770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zh-CN" sz="1050" kern="100">
              <a:effectLst/>
              <a:latin typeface="Calibri" panose="020F0502020204030204" pitchFamily="34" charset="0"/>
              <a:ea typeface="宋体" panose="02010600030101010101" pitchFamily="2" charset="-122"/>
              <a:cs typeface="Times New Roman" panose="02020603050405020304" pitchFamily="18" charset="0"/>
            </a:rPr>
            <a:t>基准线</a:t>
          </a:r>
        </a:p>
      </cdr:txBody>
    </cdr:sp>
  </cdr:relSizeAnchor>
  <cdr:relSizeAnchor xmlns:cdr="http://schemas.openxmlformats.org/drawingml/2006/chartDrawing">
    <cdr:from>
      <cdr:x>0.10695</cdr:x>
      <cdr:y>0.36595</cdr:y>
    </cdr:from>
    <cdr:to>
      <cdr:x>0.9688</cdr:x>
      <cdr:y>0.37103</cdr:y>
    </cdr:to>
    <cdr:cxnSp macro="">
      <cdr:nvCxnSpPr>
        <cdr:cNvPr id="16" name="直接连接符 15"/>
        <cdr:cNvCxnSpPr/>
      </cdr:nvCxnSpPr>
      <cdr:spPr>
        <a:xfrm xmlns:a="http://schemas.openxmlformats.org/drawingml/2006/main" flipV="1">
          <a:off x="539750" y="914400"/>
          <a:ext cx="4349750" cy="12700"/>
        </a:xfrm>
        <a:prstGeom xmlns:a="http://schemas.openxmlformats.org/drawingml/2006/main" prst="line">
          <a:avLst/>
        </a:prstGeom>
        <a:ln xmlns:a="http://schemas.openxmlformats.org/drawingml/2006/main" w="19050"/>
      </cdr:spPr>
      <cdr:style>
        <a:lnRef xmlns:a="http://schemas.openxmlformats.org/drawingml/2006/main" idx="1">
          <a:schemeClr val="accent6"/>
        </a:lnRef>
        <a:fillRef xmlns:a="http://schemas.openxmlformats.org/drawingml/2006/main" idx="0">
          <a:schemeClr val="accent6"/>
        </a:fillRef>
        <a:effectRef xmlns:a="http://schemas.openxmlformats.org/drawingml/2006/main" idx="0">
          <a:schemeClr val="accent6"/>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cdr:x>
      <cdr:y>0.01007</cdr:y>
    </cdr:from>
    <cdr:to>
      <cdr:x>0.08444</cdr:x>
      <cdr:y>0.09256</cdr:y>
    </cdr:to>
    <cdr:sp macro="" textlink="">
      <cdr:nvSpPr>
        <cdr:cNvPr id="2" name="文本框 1"/>
        <cdr:cNvSpPr txBox="1"/>
      </cdr:nvSpPr>
      <cdr:spPr>
        <a:xfrm xmlns:a="http://schemas.openxmlformats.org/drawingml/2006/main">
          <a:off x="-1143000" y="37073"/>
          <a:ext cx="445685" cy="30381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1000"/>
            <a:t>（栋）</a:t>
          </a:r>
        </a:p>
      </cdr:txBody>
    </cdr:sp>
  </cdr:relSizeAnchor>
</c:userShapes>
</file>

<file path=word/drawings/drawing5.xml><?xml version="1.0" encoding="utf-8"?>
<c:userShapes xmlns:c="http://schemas.openxmlformats.org/drawingml/2006/chart">
  <cdr:relSizeAnchor xmlns:cdr="http://schemas.openxmlformats.org/drawingml/2006/chartDrawing">
    <cdr:from>
      <cdr:x>0.03071</cdr:x>
      <cdr:y>0.00579</cdr:y>
    </cdr:from>
    <cdr:to>
      <cdr:x>0.20762</cdr:x>
      <cdr:y>0.33912</cdr:y>
    </cdr:to>
    <cdr:sp macro="" textlink="">
      <cdr:nvSpPr>
        <cdr:cNvPr id="2" name="文本框 1"/>
        <cdr:cNvSpPr txBox="1"/>
      </cdr:nvSpPr>
      <cdr:spPr>
        <a:xfrm xmlns:a="http://schemas.openxmlformats.org/drawingml/2006/main">
          <a:off x="158749" y="158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1000"/>
            <a:t>（栋）</a:t>
          </a:r>
        </a:p>
      </cdr:txBody>
    </cdr:sp>
  </cdr:relSizeAnchor>
  <cdr:relSizeAnchor xmlns:cdr="http://schemas.openxmlformats.org/drawingml/2006/chartDrawing">
    <cdr:from>
      <cdr:x>0.29115</cdr:x>
      <cdr:y>0.81019</cdr:y>
    </cdr:from>
    <cdr:to>
      <cdr:x>0.40786</cdr:x>
      <cdr:y>0.88657</cdr:y>
    </cdr:to>
    <cdr:sp macro="" textlink="">
      <cdr:nvSpPr>
        <cdr:cNvPr id="3" name="文本框 2"/>
        <cdr:cNvSpPr txBox="1"/>
      </cdr:nvSpPr>
      <cdr:spPr>
        <a:xfrm xmlns:a="http://schemas.openxmlformats.org/drawingml/2006/main">
          <a:off x="1504950" y="2222500"/>
          <a:ext cx="6032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CN" sz="1000">
              <a:latin typeface="Times New Roman" panose="02020603050405020304" pitchFamily="18" charset="0"/>
              <a:ea typeface="+mn-ea"/>
              <a:cs typeface="Times New Roman" panose="02020603050405020304" pitchFamily="18" charset="0"/>
            </a:rPr>
            <a:t>8.2%</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0.57003</cdr:x>
      <cdr:y>0.80787</cdr:y>
    </cdr:from>
    <cdr:to>
      <cdr:x>0.68674</cdr:x>
      <cdr:y>0.88425</cdr:y>
    </cdr:to>
    <cdr:sp macro="" textlink="">
      <cdr:nvSpPr>
        <cdr:cNvPr id="4" name="文本框 1"/>
        <cdr:cNvSpPr txBox="1"/>
      </cdr:nvSpPr>
      <cdr:spPr>
        <a:xfrm xmlns:a="http://schemas.openxmlformats.org/drawingml/2006/main">
          <a:off x="2946410" y="2216162"/>
          <a:ext cx="603262" cy="2095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19.9%</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0.28624</cdr:x>
      <cdr:y>0.6875</cdr:y>
    </cdr:from>
    <cdr:to>
      <cdr:x>0.40295</cdr:x>
      <cdr:y>0.76389</cdr:y>
    </cdr:to>
    <cdr:sp macro="" textlink="">
      <cdr:nvSpPr>
        <cdr:cNvPr id="5" name="文本框 1"/>
        <cdr:cNvSpPr txBox="1"/>
      </cdr:nvSpPr>
      <cdr:spPr>
        <a:xfrm xmlns:a="http://schemas.openxmlformats.org/drawingml/2006/main">
          <a:off x="1479550" y="1885950"/>
          <a:ext cx="6032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38.5%</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0.5688</cdr:x>
      <cdr:y>0.74075</cdr:y>
    </cdr:from>
    <cdr:to>
      <cdr:x>0.6855</cdr:x>
      <cdr:y>0.81713</cdr:y>
    </cdr:to>
    <cdr:sp macro="" textlink="">
      <cdr:nvSpPr>
        <cdr:cNvPr id="6" name="文本框 1"/>
        <cdr:cNvSpPr txBox="1"/>
      </cdr:nvSpPr>
      <cdr:spPr>
        <a:xfrm xmlns:a="http://schemas.openxmlformats.org/drawingml/2006/main">
          <a:off x="2940068" y="2032012"/>
          <a:ext cx="603210" cy="2095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22.5%</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0.28501</cdr:x>
      <cdr:y>0.50463</cdr:y>
    </cdr:from>
    <cdr:to>
      <cdr:x>0.40172</cdr:x>
      <cdr:y>0.58102</cdr:y>
    </cdr:to>
    <cdr:sp macro="" textlink="">
      <cdr:nvSpPr>
        <cdr:cNvPr id="7" name="文本框 1"/>
        <cdr:cNvSpPr txBox="1"/>
      </cdr:nvSpPr>
      <cdr:spPr>
        <a:xfrm xmlns:a="http://schemas.openxmlformats.org/drawingml/2006/main">
          <a:off x="1473200" y="1384300"/>
          <a:ext cx="6032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12.2%</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0.56757</cdr:x>
      <cdr:y>0.68287</cdr:y>
    </cdr:from>
    <cdr:to>
      <cdr:x>0.68428</cdr:x>
      <cdr:y>0.75926</cdr:y>
    </cdr:to>
    <cdr:sp macro="" textlink="">
      <cdr:nvSpPr>
        <cdr:cNvPr id="8" name="文本框 1"/>
        <cdr:cNvSpPr txBox="1"/>
      </cdr:nvSpPr>
      <cdr:spPr>
        <a:xfrm xmlns:a="http://schemas.openxmlformats.org/drawingml/2006/main">
          <a:off x="2933710" y="1873249"/>
          <a:ext cx="603262" cy="2095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14.9%</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0.28501</cdr:x>
      <cdr:y>0.42824</cdr:y>
    </cdr:from>
    <cdr:to>
      <cdr:x>0.40172</cdr:x>
      <cdr:y>0.50463</cdr:y>
    </cdr:to>
    <cdr:sp macro="" textlink="">
      <cdr:nvSpPr>
        <cdr:cNvPr id="9" name="文本框 1"/>
        <cdr:cNvSpPr txBox="1"/>
      </cdr:nvSpPr>
      <cdr:spPr>
        <a:xfrm xmlns:a="http://schemas.openxmlformats.org/drawingml/2006/main">
          <a:off x="1473200" y="1174750"/>
          <a:ext cx="6032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13.1%</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0.56634</cdr:x>
      <cdr:y>0.63194</cdr:y>
    </cdr:from>
    <cdr:to>
      <cdr:x>0.68305</cdr:x>
      <cdr:y>0.70833</cdr:y>
    </cdr:to>
    <cdr:sp macro="" textlink="">
      <cdr:nvSpPr>
        <cdr:cNvPr id="10" name="文本框 1"/>
        <cdr:cNvSpPr txBox="1"/>
      </cdr:nvSpPr>
      <cdr:spPr>
        <a:xfrm xmlns:a="http://schemas.openxmlformats.org/drawingml/2006/main">
          <a:off x="2927345" y="1733550"/>
          <a:ext cx="603262" cy="2095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18.9%</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0.28501</cdr:x>
      <cdr:y>0.34028</cdr:y>
    </cdr:from>
    <cdr:to>
      <cdr:x>0.40172</cdr:x>
      <cdr:y>0.41667</cdr:y>
    </cdr:to>
    <cdr:sp macro="" textlink="">
      <cdr:nvSpPr>
        <cdr:cNvPr id="11" name="文本框 1"/>
        <cdr:cNvSpPr txBox="1"/>
      </cdr:nvSpPr>
      <cdr:spPr>
        <a:xfrm xmlns:a="http://schemas.openxmlformats.org/drawingml/2006/main">
          <a:off x="1473200" y="933450"/>
          <a:ext cx="6032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13.8%</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0.56757</cdr:x>
      <cdr:y>0.58565</cdr:y>
    </cdr:from>
    <cdr:to>
      <cdr:x>0.68428</cdr:x>
      <cdr:y>0.66204</cdr:y>
    </cdr:to>
    <cdr:sp macro="" textlink="">
      <cdr:nvSpPr>
        <cdr:cNvPr id="12" name="文本框 1"/>
        <cdr:cNvSpPr txBox="1"/>
      </cdr:nvSpPr>
      <cdr:spPr>
        <a:xfrm xmlns:a="http://schemas.openxmlformats.org/drawingml/2006/main">
          <a:off x="2933700" y="1606550"/>
          <a:ext cx="6032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6.8%</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0.28501</cdr:x>
      <cdr:y>0.27315</cdr:y>
    </cdr:from>
    <cdr:to>
      <cdr:x>0.40172</cdr:x>
      <cdr:y>0.34954</cdr:y>
    </cdr:to>
    <cdr:sp macro="" textlink="">
      <cdr:nvSpPr>
        <cdr:cNvPr id="13" name="文本框 1"/>
        <cdr:cNvSpPr txBox="1"/>
      </cdr:nvSpPr>
      <cdr:spPr>
        <a:xfrm xmlns:a="http://schemas.openxmlformats.org/drawingml/2006/main">
          <a:off x="1473200" y="749300"/>
          <a:ext cx="6032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6.8%</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0.5688</cdr:x>
      <cdr:y>0.54167</cdr:y>
    </cdr:from>
    <cdr:to>
      <cdr:x>0.68551</cdr:x>
      <cdr:y>0.61806</cdr:y>
    </cdr:to>
    <cdr:sp macro="" textlink="">
      <cdr:nvSpPr>
        <cdr:cNvPr id="14" name="文本框 1"/>
        <cdr:cNvSpPr txBox="1"/>
      </cdr:nvSpPr>
      <cdr:spPr>
        <a:xfrm xmlns:a="http://schemas.openxmlformats.org/drawingml/2006/main">
          <a:off x="2940055" y="1485909"/>
          <a:ext cx="603262" cy="2095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7.4%</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0.28501</cdr:x>
      <cdr:y>0.21991</cdr:y>
    </cdr:from>
    <cdr:to>
      <cdr:x>0.40172</cdr:x>
      <cdr:y>0.2963</cdr:y>
    </cdr:to>
    <cdr:sp macro="" textlink="">
      <cdr:nvSpPr>
        <cdr:cNvPr id="15" name="文本框 1"/>
        <cdr:cNvSpPr txBox="1"/>
      </cdr:nvSpPr>
      <cdr:spPr>
        <a:xfrm xmlns:a="http://schemas.openxmlformats.org/drawingml/2006/main">
          <a:off x="1473200" y="603250"/>
          <a:ext cx="6032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7.3%</a:t>
          </a:r>
          <a:endParaRPr lang="zh-CN" altLang="en-US" sz="1000">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0.57002</cdr:x>
      <cdr:y>0.48843</cdr:y>
    </cdr:from>
    <cdr:to>
      <cdr:x>0.68673</cdr:x>
      <cdr:y>0.56481</cdr:y>
    </cdr:to>
    <cdr:sp macro="" textlink="">
      <cdr:nvSpPr>
        <cdr:cNvPr id="16" name="文本框 1"/>
        <cdr:cNvSpPr txBox="1"/>
      </cdr:nvSpPr>
      <cdr:spPr>
        <a:xfrm xmlns:a="http://schemas.openxmlformats.org/drawingml/2006/main">
          <a:off x="2946397" y="1339861"/>
          <a:ext cx="603262" cy="2095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000">
              <a:latin typeface="Times New Roman" panose="02020603050405020304" pitchFamily="18" charset="0"/>
              <a:ea typeface="+mn-ea"/>
              <a:cs typeface="Times New Roman" panose="02020603050405020304" pitchFamily="18" charset="0"/>
            </a:rPr>
            <a:t>9.7%</a:t>
          </a:r>
          <a:endParaRPr lang="zh-CN" altLang="en-US" sz="1000">
            <a:latin typeface="Times New Roman" panose="02020603050405020304" pitchFamily="18" charset="0"/>
            <a:ea typeface="+mn-ea"/>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0.78292</cdr:x>
      <cdr:y>0.08681</cdr:y>
    </cdr:from>
    <cdr:to>
      <cdr:x>0.98292</cdr:x>
      <cdr:y>0.15162</cdr:y>
    </cdr:to>
    <cdr:sp macro="" textlink="">
      <cdr:nvSpPr>
        <cdr:cNvPr id="2" name="文本框 1"/>
        <cdr:cNvSpPr txBox="1"/>
      </cdr:nvSpPr>
      <cdr:spPr>
        <a:xfrm xmlns:a="http://schemas.openxmlformats.org/drawingml/2006/main">
          <a:off x="4075684" y="267353"/>
          <a:ext cx="1041146" cy="1995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900">
              <a:latin typeface="Times New Roman" panose="02020603050405020304" pitchFamily="18" charset="0"/>
              <a:ea typeface="宋体" panose="02010600030101010101" pitchFamily="2" charset="-122"/>
              <a:cs typeface="Times New Roman" panose="02020603050405020304" pitchFamily="18" charset="0"/>
            </a:rPr>
            <a:t>单位：</a:t>
          </a:r>
          <a:r>
            <a:rPr lang="en-US" altLang="zh-CN" sz="900">
              <a:latin typeface="Times New Roman" panose="02020603050405020304" pitchFamily="18" charset="0"/>
              <a:ea typeface="宋体" panose="02010600030101010101" pitchFamily="2" charset="-122"/>
              <a:cs typeface="Times New Roman" panose="02020603050405020304" pitchFamily="18" charset="0"/>
            </a:rPr>
            <a:t>kWh/m</a:t>
          </a:r>
          <a:r>
            <a:rPr lang="en-US" altLang="zh-CN" sz="900" baseline="30000">
              <a:latin typeface="Times New Roman" panose="02020603050405020304" pitchFamily="18" charset="0"/>
              <a:ea typeface="宋体" panose="02010600030101010101" pitchFamily="2" charset="-122"/>
              <a:cs typeface="Times New Roman" panose="02020603050405020304" pitchFamily="18" charset="0"/>
            </a:rPr>
            <a:t>2</a:t>
          </a:r>
          <a:endParaRPr lang="zh-CN" altLang="en-US" sz="900" baseline="30000">
            <a:latin typeface="Times New Roman" panose="02020603050405020304" pitchFamily="18" charset="0"/>
            <a:ea typeface="宋体" panose="02010600030101010101" pitchFamily="2" charset="-122"/>
            <a:cs typeface="Times New Roman" panose="02020603050405020304" pitchFamily="18" charset="0"/>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A522-A2CA-4E6A-BAD0-A7F66D9A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31</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Lixin Wang</dc:creator>
  <cp:lastModifiedBy>何流:</cp:lastModifiedBy>
  <cp:revision>48</cp:revision>
  <cp:lastPrinted>2017-04-11T13:30:00Z</cp:lastPrinted>
  <dcterms:created xsi:type="dcterms:W3CDTF">2017-04-11T12:11:00Z</dcterms:created>
  <dcterms:modified xsi:type="dcterms:W3CDTF">2017-05-04T01:43:00Z</dcterms:modified>
</cp:coreProperties>
</file>